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2E2" w:rsidRPr="003832E0" w:rsidRDefault="004642E2" w:rsidP="004642E2">
      <w:pPr>
        <w:spacing w:after="0" w:line="240" w:lineRule="auto"/>
        <w:jc w:val="right"/>
        <w:rPr>
          <w:rFonts w:ascii="Arial" w:eastAsia="Times New Roman" w:hAnsi="Arial" w:cs="Arial"/>
          <w:b/>
        </w:rPr>
      </w:pPr>
      <w:r w:rsidRPr="003832E0">
        <w:rPr>
          <w:rFonts w:ascii="Arial" w:eastAsia="Times New Roman" w:hAnsi="Arial" w:cs="Arial"/>
          <w:b/>
        </w:rPr>
        <w:t xml:space="preserve">OBRAZEC št. </w:t>
      </w:r>
      <w:r w:rsidR="00DD2708">
        <w:rPr>
          <w:rFonts w:ascii="Arial" w:eastAsia="Times New Roman" w:hAnsi="Arial" w:cs="Arial"/>
          <w:b/>
        </w:rPr>
        <w:t>10</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rPr>
        <w:t>Ponudnik:</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rPr>
        <w:t>____________________________</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rPr>
        <w:t>____________________________</w:t>
      </w:r>
    </w:p>
    <w:p w:rsidR="004642E2" w:rsidRPr="003832E0" w:rsidRDefault="004642E2" w:rsidP="004642E2">
      <w:pPr>
        <w:autoSpaceDE w:val="0"/>
        <w:autoSpaceDN w:val="0"/>
        <w:adjustRightInd w:val="0"/>
        <w:spacing w:after="0" w:line="240" w:lineRule="auto"/>
        <w:ind w:left="57"/>
        <w:jc w:val="both"/>
        <w:outlineLvl w:val="0"/>
        <w:rPr>
          <w:rFonts w:ascii="Arial" w:eastAsia="Times New Roman" w:hAnsi="Arial" w:cs="Arial"/>
        </w:rPr>
      </w:pPr>
      <w:r w:rsidRPr="003832E0">
        <w:rPr>
          <w:rFonts w:ascii="Arial" w:eastAsia="Times New Roman" w:hAnsi="Arial" w:cs="Arial"/>
        </w:rPr>
        <w:t>____________________________</w:t>
      </w:r>
    </w:p>
    <w:p w:rsidR="004642E2" w:rsidRPr="003832E0" w:rsidRDefault="004642E2" w:rsidP="004642E2">
      <w:pPr>
        <w:autoSpaceDE w:val="0"/>
        <w:autoSpaceDN w:val="0"/>
        <w:adjustRightInd w:val="0"/>
        <w:spacing w:after="0" w:line="240" w:lineRule="auto"/>
        <w:ind w:left="57"/>
        <w:jc w:val="both"/>
        <w:outlineLvl w:val="0"/>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outlineLvl w:val="0"/>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center"/>
        <w:outlineLvl w:val="0"/>
        <w:rPr>
          <w:rFonts w:ascii="Arial" w:eastAsia="Times New Roman" w:hAnsi="Arial" w:cs="Arial"/>
          <w:b/>
        </w:rPr>
      </w:pPr>
      <w:r w:rsidRPr="003832E0">
        <w:rPr>
          <w:rFonts w:ascii="Arial" w:eastAsia="Times New Roman" w:hAnsi="Arial" w:cs="Arial"/>
          <w:b/>
        </w:rPr>
        <w:t>IZJAVA O IZROČITVI BANČNIH GARANCIJ</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rPr>
        <w:t>Naročniku, Občini Trebnje, Goliev trg 5, 8210 Trebnje, izjavljamo, da bomo v kolikor bomo izbrani v postopku javnega razpisa za oddajo javnega naročila gradnje po odprtem postopku, ki je bil objavljen na Portalu javnih naročil: »</w:t>
      </w:r>
      <w:r w:rsidR="00C40D57" w:rsidRPr="00C40D57">
        <w:rPr>
          <w:rFonts w:ascii="Arial" w:hAnsi="Arial" w:cs="Arial"/>
          <w:b/>
        </w:rPr>
        <w:t>Izgradnja pločnika ob R3-650, odsek 1159 Žužemberk – Pluska, v delu naselja Dobrnič  - I. faza</w:t>
      </w:r>
      <w:r w:rsidRPr="003832E0">
        <w:rPr>
          <w:rFonts w:ascii="Arial" w:eastAsia="Times New Roman" w:hAnsi="Arial" w:cs="Arial"/>
        </w:rPr>
        <w:t>«</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numPr>
          <w:ilvl w:val="0"/>
          <w:numId w:val="1"/>
        </w:numPr>
        <w:autoSpaceDE w:val="0"/>
        <w:autoSpaceDN w:val="0"/>
        <w:adjustRightInd w:val="0"/>
        <w:spacing w:after="0" w:line="240" w:lineRule="auto"/>
        <w:jc w:val="both"/>
        <w:rPr>
          <w:rFonts w:ascii="Arial" w:eastAsia="Times New Roman" w:hAnsi="Arial" w:cs="Arial"/>
        </w:rPr>
      </w:pPr>
      <w:r w:rsidRPr="003832E0">
        <w:rPr>
          <w:rFonts w:ascii="Arial" w:eastAsia="Times New Roman" w:hAnsi="Arial" w:cs="Arial"/>
        </w:rPr>
        <w:t xml:space="preserve">v roku 10 dni po podpisu pogodbe naročniku izročili nepreklicno, brezpogojno bančno garancijo za dobro izvedbo pogodbenih obveznosti, plačljivo na prvi poziv, v višini 10% skupne pogodbene vrednosti z DDV, veljavno do vključno </w:t>
      </w:r>
      <w:r w:rsidR="00641AD6">
        <w:rPr>
          <w:rFonts w:ascii="Arial" w:eastAsia="Times New Roman" w:hAnsi="Arial" w:cs="Arial"/>
        </w:rPr>
        <w:t>3</w:t>
      </w:r>
      <w:r>
        <w:rPr>
          <w:rFonts w:ascii="Arial" w:eastAsia="Times New Roman" w:hAnsi="Arial" w:cs="Arial"/>
        </w:rPr>
        <w:t>0</w:t>
      </w:r>
      <w:r w:rsidRPr="003832E0">
        <w:rPr>
          <w:rFonts w:ascii="Arial" w:eastAsia="Times New Roman" w:hAnsi="Arial" w:cs="Arial"/>
        </w:rPr>
        <w:t xml:space="preserve"> dni dalj</w:t>
      </w:r>
      <w:r w:rsidR="00020DFC">
        <w:rPr>
          <w:rFonts w:ascii="Arial" w:eastAsia="Times New Roman" w:hAnsi="Arial" w:cs="Arial"/>
        </w:rPr>
        <w:t>e</w:t>
      </w:r>
      <w:r w:rsidRPr="003832E0">
        <w:rPr>
          <w:rFonts w:ascii="Arial" w:eastAsia="Times New Roman" w:hAnsi="Arial" w:cs="Arial"/>
        </w:rPr>
        <w:t xml:space="preserve">, kot bo v pogodbi določen skrajni rok za izvedbo naročila (do vključno </w:t>
      </w:r>
      <w:r w:rsidR="00804AF7">
        <w:rPr>
          <w:rFonts w:ascii="Arial" w:eastAsia="Times New Roman" w:hAnsi="Arial" w:cs="Arial"/>
        </w:rPr>
        <w:t>10</w:t>
      </w:r>
      <w:r w:rsidRPr="00396F71">
        <w:rPr>
          <w:rFonts w:ascii="Arial" w:eastAsia="Times New Roman" w:hAnsi="Arial" w:cs="Arial"/>
        </w:rPr>
        <w:t xml:space="preserve">. </w:t>
      </w:r>
      <w:r w:rsidR="00804AF7">
        <w:rPr>
          <w:rFonts w:ascii="Arial" w:eastAsia="Times New Roman" w:hAnsi="Arial" w:cs="Arial"/>
        </w:rPr>
        <w:t>novembra</w:t>
      </w:r>
      <w:r w:rsidRPr="00396F71">
        <w:rPr>
          <w:rFonts w:ascii="Arial" w:eastAsia="Times New Roman" w:hAnsi="Arial" w:cs="Arial"/>
        </w:rPr>
        <w:t xml:space="preserve"> 201</w:t>
      </w:r>
      <w:r w:rsidR="007D6F40">
        <w:rPr>
          <w:rFonts w:ascii="Arial" w:eastAsia="Times New Roman" w:hAnsi="Arial" w:cs="Arial"/>
        </w:rPr>
        <w:t>5</w:t>
      </w:r>
      <w:r w:rsidRPr="003832E0">
        <w:rPr>
          <w:rFonts w:ascii="Arial" w:eastAsia="Times New Roman" w:hAnsi="Arial" w:cs="Arial"/>
        </w:rPr>
        <w:t>); naročniku izjavljamo, da smo seznanjeni s tem, da se šteje, da brez izročitve bančne garancije za dobro izvedbo pogodbenih obveznosti pogodba ni sklenjena, naročnik pa bo unovčil menico za zavarovanje za resnost ponudbe;</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8A7F4E" w:rsidRDefault="008A7F4E" w:rsidP="008A7F4E">
      <w:pPr>
        <w:numPr>
          <w:ilvl w:val="1"/>
          <w:numId w:val="1"/>
        </w:numPr>
        <w:tabs>
          <w:tab w:val="clear" w:pos="1497"/>
        </w:tabs>
        <w:autoSpaceDE w:val="0"/>
        <w:autoSpaceDN w:val="0"/>
        <w:adjustRightInd w:val="0"/>
        <w:spacing w:after="0" w:line="240" w:lineRule="auto"/>
        <w:ind w:left="851" w:hanging="425"/>
        <w:jc w:val="both"/>
        <w:rPr>
          <w:rFonts w:ascii="Arial" w:eastAsia="Times New Roman" w:hAnsi="Arial" w:cs="Arial"/>
        </w:rPr>
      </w:pPr>
      <w:r w:rsidRPr="003832E0">
        <w:rPr>
          <w:rFonts w:ascii="Arial" w:eastAsia="Times New Roman" w:hAnsi="Arial" w:cs="Arial"/>
        </w:rPr>
        <w:t xml:space="preserve">po prevzemu del s strani naročnika, to je po uspešnem tehničnem pregledu, za investicijo </w:t>
      </w:r>
      <w:r w:rsidRPr="008A7F4E">
        <w:rPr>
          <w:rFonts w:ascii="Arial" w:eastAsia="Times New Roman" w:hAnsi="Arial" w:cs="Arial"/>
        </w:rPr>
        <w:t>»</w:t>
      </w:r>
      <w:r w:rsidR="00C40D57" w:rsidRPr="00C40D57">
        <w:rPr>
          <w:rFonts w:ascii="Arial" w:eastAsia="Times New Roman" w:hAnsi="Arial" w:cs="Arial"/>
        </w:rPr>
        <w:t>Izgradnja pločnika ob R3-650, odsek 1159 Žužemberk – Pluska, v delu naselja Dobrnič  - I. faza</w:t>
      </w:r>
      <w:r w:rsidRPr="008A7F4E">
        <w:rPr>
          <w:rFonts w:ascii="Arial" w:eastAsia="Times New Roman" w:hAnsi="Arial" w:cs="Arial"/>
        </w:rPr>
        <w:t>«,</w:t>
      </w:r>
      <w:r w:rsidRPr="003832E0">
        <w:rPr>
          <w:rFonts w:ascii="Arial" w:eastAsia="Times New Roman" w:hAnsi="Arial" w:cs="Arial"/>
        </w:rPr>
        <w:t xml:space="preserve"> ki je predmet javnega </w:t>
      </w:r>
      <w:r w:rsidRPr="00982B2F">
        <w:rPr>
          <w:rFonts w:ascii="Arial" w:eastAsia="Times New Roman" w:hAnsi="Arial" w:cs="Arial"/>
        </w:rPr>
        <w:t>naročila</w:t>
      </w:r>
      <w:r w:rsidRPr="003832E0">
        <w:rPr>
          <w:rFonts w:ascii="Arial" w:eastAsia="Times New Roman" w:hAnsi="Arial" w:cs="Arial"/>
        </w:rPr>
        <w:t xml:space="preserve">, naročniku izročili nepreklicno, brezpogojno bančno garancijo za odpravo napak v garancijskem roku, plačljivo na prvi poziv, v višini 5 % končne obračunske vrednosti investicije z DDV, z veljavnostjo </w:t>
      </w:r>
      <w:r>
        <w:rPr>
          <w:rFonts w:ascii="Arial" w:eastAsia="Times New Roman" w:hAnsi="Arial" w:cs="Arial"/>
        </w:rPr>
        <w:t>pet (5) let</w:t>
      </w:r>
      <w:r w:rsidRPr="003832E0">
        <w:rPr>
          <w:rFonts w:ascii="Arial" w:eastAsia="Times New Roman" w:hAnsi="Arial" w:cs="Arial"/>
        </w:rPr>
        <w:t xml:space="preserve"> + 30 dni; naročniku izjavljamo, da smo seznanjeni s tem, da se šteje, da brez navedene bančne garancije za odpravo napak v garancijskem roku dokončen prevzem izvršenih del s strani naročnika ni izvršen, naročnik pa ima pravico brezobrestno zadržati 15% </w:t>
      </w:r>
      <w:r>
        <w:rPr>
          <w:rFonts w:ascii="Arial" w:eastAsia="Times New Roman" w:hAnsi="Arial" w:cs="Arial"/>
        </w:rPr>
        <w:t xml:space="preserve">kumulativne vrednosti </w:t>
      </w:r>
      <w:r w:rsidRPr="003832E0">
        <w:rPr>
          <w:rFonts w:ascii="Arial" w:eastAsia="Times New Roman" w:hAnsi="Arial" w:cs="Arial"/>
        </w:rPr>
        <w:t>končne situacije za garancijski rok</w:t>
      </w:r>
      <w:bookmarkStart w:id="0" w:name="_GoBack"/>
      <w:bookmarkEnd w:id="0"/>
    </w:p>
    <w:p w:rsidR="008A7F4E" w:rsidRDefault="008A7F4E" w:rsidP="008A7F4E">
      <w:pPr>
        <w:autoSpaceDE w:val="0"/>
        <w:autoSpaceDN w:val="0"/>
        <w:adjustRightInd w:val="0"/>
        <w:spacing w:after="0" w:line="240" w:lineRule="auto"/>
        <w:jc w:val="both"/>
        <w:rPr>
          <w:rFonts w:ascii="Arial" w:eastAsia="Times New Roman" w:hAnsi="Arial" w:cs="Arial"/>
        </w:rPr>
      </w:pPr>
    </w:p>
    <w:p w:rsidR="008A7F4E" w:rsidRPr="008A7F4E" w:rsidRDefault="008A7F4E" w:rsidP="008A7F4E">
      <w:pPr>
        <w:autoSpaceDE w:val="0"/>
        <w:autoSpaceDN w:val="0"/>
        <w:adjustRightInd w:val="0"/>
        <w:spacing w:after="0" w:line="240" w:lineRule="auto"/>
        <w:ind w:left="851"/>
        <w:jc w:val="both"/>
        <w:rPr>
          <w:rFonts w:ascii="Arial" w:eastAsia="Times New Roman" w:hAnsi="Arial" w:cs="Arial"/>
          <w:b/>
          <w:u w:val="single"/>
        </w:rPr>
      </w:pPr>
      <w:r w:rsidRPr="008A7F4E">
        <w:rPr>
          <w:rFonts w:ascii="Arial" w:eastAsia="Times New Roman" w:hAnsi="Arial" w:cs="Arial"/>
          <w:b/>
          <w:u w:val="single"/>
        </w:rPr>
        <w:t>ali</w:t>
      </w:r>
    </w:p>
    <w:p w:rsidR="008A7F4E" w:rsidRDefault="008A7F4E" w:rsidP="008A7F4E">
      <w:pPr>
        <w:autoSpaceDE w:val="0"/>
        <w:autoSpaceDN w:val="0"/>
        <w:adjustRightInd w:val="0"/>
        <w:spacing w:after="0" w:line="240" w:lineRule="auto"/>
        <w:jc w:val="both"/>
        <w:rPr>
          <w:rFonts w:ascii="Arial" w:eastAsia="Times New Roman" w:hAnsi="Arial" w:cs="Arial"/>
        </w:rPr>
      </w:pPr>
    </w:p>
    <w:p w:rsidR="008A7F4E" w:rsidRPr="00982B2F" w:rsidRDefault="008A7F4E" w:rsidP="008A7F4E">
      <w:pPr>
        <w:numPr>
          <w:ilvl w:val="0"/>
          <w:numId w:val="2"/>
        </w:numPr>
        <w:tabs>
          <w:tab w:val="clear" w:pos="1497"/>
        </w:tabs>
        <w:autoSpaceDE w:val="0"/>
        <w:autoSpaceDN w:val="0"/>
        <w:adjustRightInd w:val="0"/>
        <w:spacing w:after="0" w:line="240" w:lineRule="auto"/>
        <w:ind w:left="851" w:hanging="425"/>
        <w:jc w:val="both"/>
        <w:rPr>
          <w:rFonts w:ascii="Arial" w:eastAsia="Times New Roman" w:hAnsi="Arial" w:cs="Arial"/>
        </w:rPr>
      </w:pPr>
      <w:r w:rsidRPr="00982B2F">
        <w:rPr>
          <w:rFonts w:ascii="Arial" w:eastAsia="Times New Roman" w:hAnsi="Arial" w:cs="Arial"/>
        </w:rPr>
        <w:t>p</w:t>
      </w:r>
      <w:r w:rsidRPr="00982B2F">
        <w:rPr>
          <w:rFonts w:ascii="Arial" w:hAnsi="Arial" w:cs="Arial"/>
        </w:rPr>
        <w:t xml:space="preserve">o prevzemu del s strani naročnika, to je po uspešnem tehničnem pregledu – za investicijo </w:t>
      </w:r>
      <w:r w:rsidRPr="00982B2F">
        <w:rPr>
          <w:rFonts w:ascii="Arial" w:eastAsia="Times New Roman" w:hAnsi="Arial" w:cs="Arial"/>
        </w:rPr>
        <w:t>»</w:t>
      </w:r>
      <w:r w:rsidR="00C40D57" w:rsidRPr="00C40D57">
        <w:rPr>
          <w:rFonts w:ascii="Arial" w:eastAsia="Times New Roman" w:hAnsi="Arial" w:cs="Arial"/>
        </w:rPr>
        <w:t>Izgradnja pločnika ob R3-650, odsek 1159 Žužemberk – Pluska, v delu naselja Dobrnič  - I. faza</w:t>
      </w:r>
      <w:r w:rsidRPr="00982B2F">
        <w:rPr>
          <w:rFonts w:ascii="Arial" w:eastAsia="Times New Roman" w:hAnsi="Arial" w:cs="Arial"/>
        </w:rPr>
        <w:t>«</w:t>
      </w:r>
      <w:r w:rsidRPr="00982B2F">
        <w:rPr>
          <w:rFonts w:ascii="Arial" w:hAnsi="Arial" w:cs="Arial"/>
        </w:rPr>
        <w:t xml:space="preserve">, ki je predmet javnega naročila, mora izvajalec izročiti naročniku nepreklicno, brezpogojno bančno garancijo </w:t>
      </w:r>
      <w:r w:rsidRPr="00982B2F">
        <w:rPr>
          <w:rFonts w:ascii="Arial" w:eastAsia="Times New Roman" w:hAnsi="Arial" w:cs="Arial"/>
        </w:rPr>
        <w:t>za odpravo napak v garancijskem roku, plačljivo na prvi poziv,</w:t>
      </w:r>
      <w:r w:rsidRPr="00982B2F">
        <w:rPr>
          <w:rFonts w:ascii="Arial" w:hAnsi="Arial" w:cs="Arial"/>
        </w:rPr>
        <w:t xml:space="preserve"> v višini 5% kumulativne vrednosti končne obračunske situacije z veljavnostjo dveh (2) let + 30 dni ter najkasneje 30. dan pred iztekom veljavnosti te garancije predložiti novo garancijo v isti višini veljavno za preostala tri (3) leta + 30 dni od izteka veljavnosti prve garancije; </w:t>
      </w:r>
      <w:r w:rsidRPr="00982B2F">
        <w:rPr>
          <w:rFonts w:ascii="Arial" w:eastAsia="Times New Roman" w:hAnsi="Arial" w:cs="Arial"/>
        </w:rPr>
        <w:t xml:space="preserve">naročniku izjavljamo, da smo seznanjeni s tem, da se šteje, da brez navedene bančne garancije za odpravo napak v garancijskem roku dokončen prevzem izvršenih del s strani naročnika ni izvršen, naročnik pa ima pravico brezobrestno zadržati 15% kumulativne vrednosti končne situacije za garancijski rok. Izjavljamo, da smo seznanjeni, da se šteje, da </w:t>
      </w:r>
      <w:r w:rsidRPr="00982B2F">
        <w:rPr>
          <w:rFonts w:ascii="Arial" w:hAnsi="Arial" w:cs="Arial"/>
        </w:rPr>
        <w:t xml:space="preserve">v kolikor 29 dni pred potekom veljavnosti garancije z veljavnostjo dve (2) leti + 30 dni izvajalec ne predloži nove garancije za nadaljnja tri (3) leta + 30 dni ima naročnik pravico unovčiti že dano bančno garancijo. Unovčenje ima pravno naravo pogodbene kazni za neizpolnitev obveznosti predložiti nadaljnjo bančno garancijo. Izjavljamo da smo seznanjeni, da se šteje, da brez izročitve ustrezne bančne garancije za odpravo napak v garancijskem roku z veljavnostjo od dveh (2) let + 30 dni, da prevzem del (uspešen tehnični pregled) za investicijo po tej pogodbi ni izvršen, naročnik pa ima pravico brezobrestno zadržati 15% kumulativne vrednosti končne situacije za garancijski rok. V kolikor naročnik 29 dni pred potekom veljavnosti garancije z veljavnostjo dve (2) leti + 30 dni ne predloži nove garancije za nadaljnja tri (3) leta + 30 </w:t>
      </w:r>
      <w:r w:rsidRPr="00982B2F">
        <w:rPr>
          <w:rFonts w:ascii="Arial" w:hAnsi="Arial" w:cs="Arial"/>
        </w:rPr>
        <w:lastRenderedPageBreak/>
        <w:t>dni ima naročnik pravico unovčiti že dano bančno garancijo. Unovčenje ima pravno naravo pogodbene kazni za neizpolnitev obveznosti predložiti nadaljnjo bančno garancijo.</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rPr>
        <w:t>S to izjavo v celoti prevzemamo vso odgovornost in morebitne posledice, ki iz nje izhajajo.</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tbl>
      <w:tblPr>
        <w:tblW w:w="0" w:type="auto"/>
        <w:tblLook w:val="01E0"/>
      </w:tblPr>
      <w:tblGrid>
        <w:gridCol w:w="3480"/>
        <w:gridCol w:w="2797"/>
        <w:gridCol w:w="3577"/>
      </w:tblGrid>
      <w:tr w:rsidR="004642E2" w:rsidRPr="003832E0" w:rsidTr="003B786A">
        <w:trPr>
          <w:trHeight w:val="703"/>
        </w:trPr>
        <w:tc>
          <w:tcPr>
            <w:tcW w:w="3480" w:type="dxa"/>
            <w:shd w:val="clear" w:color="auto" w:fill="auto"/>
            <w:vAlign w:val="bottom"/>
          </w:tcPr>
          <w:p w:rsidR="004642E2" w:rsidRPr="003832E0" w:rsidRDefault="004642E2" w:rsidP="003B786A">
            <w:pPr>
              <w:autoSpaceDE w:val="0"/>
              <w:autoSpaceDN w:val="0"/>
              <w:adjustRightInd w:val="0"/>
              <w:spacing w:after="0" w:line="240" w:lineRule="auto"/>
              <w:ind w:left="57"/>
              <w:rPr>
                <w:rFonts w:ascii="Arial" w:eastAsia="Calibri" w:hAnsi="Arial" w:cs="Arial"/>
              </w:rPr>
            </w:pPr>
            <w:r w:rsidRPr="003832E0">
              <w:rPr>
                <w:rFonts w:ascii="Arial" w:eastAsia="Calibri" w:hAnsi="Arial" w:cs="Arial"/>
              </w:rPr>
              <w:t>kraj: ______________________</w:t>
            </w:r>
          </w:p>
        </w:tc>
        <w:tc>
          <w:tcPr>
            <w:tcW w:w="2797" w:type="dxa"/>
            <w:vMerge w:val="restart"/>
            <w:shd w:val="clear" w:color="auto" w:fill="auto"/>
            <w:vAlign w:val="center"/>
          </w:tcPr>
          <w:p w:rsidR="004642E2" w:rsidRPr="003832E0" w:rsidRDefault="004642E2" w:rsidP="003B786A">
            <w:pPr>
              <w:autoSpaceDE w:val="0"/>
              <w:autoSpaceDN w:val="0"/>
              <w:adjustRightInd w:val="0"/>
              <w:spacing w:after="0" w:line="240" w:lineRule="auto"/>
              <w:jc w:val="center"/>
              <w:rPr>
                <w:rFonts w:ascii="Arial" w:eastAsia="Calibri" w:hAnsi="Arial" w:cs="Arial"/>
              </w:rPr>
            </w:pPr>
            <w:r w:rsidRPr="003832E0">
              <w:rPr>
                <w:rFonts w:ascii="Arial" w:eastAsia="Calibri" w:hAnsi="Arial" w:cs="Arial"/>
              </w:rPr>
              <w:t>žig</w:t>
            </w:r>
          </w:p>
        </w:tc>
        <w:tc>
          <w:tcPr>
            <w:tcW w:w="3577" w:type="dxa"/>
            <w:vMerge w:val="restart"/>
            <w:shd w:val="clear" w:color="auto" w:fill="auto"/>
            <w:vAlign w:val="bottom"/>
          </w:tcPr>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p>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p>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p>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p>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r w:rsidRPr="003832E0">
              <w:rPr>
                <w:rFonts w:ascii="Arial" w:eastAsia="Calibri" w:hAnsi="Arial" w:cs="Arial"/>
              </w:rPr>
              <w:t>___________________________</w:t>
            </w:r>
          </w:p>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r w:rsidRPr="003832E0">
              <w:rPr>
                <w:rFonts w:ascii="Arial" w:eastAsia="Calibri" w:hAnsi="Arial" w:cs="Arial"/>
              </w:rPr>
              <w:t>podpis odgovorne osebe</w:t>
            </w:r>
          </w:p>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p>
        </w:tc>
      </w:tr>
      <w:tr w:rsidR="004642E2" w:rsidRPr="003832E0" w:rsidTr="003B786A">
        <w:trPr>
          <w:trHeight w:val="564"/>
        </w:trPr>
        <w:tc>
          <w:tcPr>
            <w:tcW w:w="3480" w:type="dxa"/>
            <w:shd w:val="clear" w:color="auto" w:fill="auto"/>
            <w:vAlign w:val="center"/>
          </w:tcPr>
          <w:p w:rsidR="004642E2" w:rsidRPr="003832E0" w:rsidRDefault="004642E2" w:rsidP="003B786A">
            <w:pPr>
              <w:autoSpaceDE w:val="0"/>
              <w:autoSpaceDN w:val="0"/>
              <w:adjustRightInd w:val="0"/>
              <w:spacing w:after="0" w:line="240" w:lineRule="auto"/>
              <w:rPr>
                <w:rFonts w:ascii="Arial" w:eastAsia="Calibri" w:hAnsi="Arial" w:cs="Arial"/>
              </w:rPr>
            </w:pPr>
            <w:r w:rsidRPr="003832E0">
              <w:rPr>
                <w:rFonts w:ascii="Arial" w:eastAsia="Calibri" w:hAnsi="Arial" w:cs="Arial"/>
              </w:rPr>
              <w:t>datum: ____________________</w:t>
            </w:r>
          </w:p>
        </w:tc>
        <w:tc>
          <w:tcPr>
            <w:tcW w:w="2797" w:type="dxa"/>
            <w:vMerge/>
            <w:shd w:val="clear" w:color="auto" w:fill="auto"/>
            <w:vAlign w:val="center"/>
          </w:tcPr>
          <w:p w:rsidR="004642E2" w:rsidRPr="003832E0" w:rsidRDefault="004642E2" w:rsidP="003B786A">
            <w:pPr>
              <w:autoSpaceDE w:val="0"/>
              <w:autoSpaceDN w:val="0"/>
              <w:adjustRightInd w:val="0"/>
              <w:spacing w:after="0" w:line="240" w:lineRule="auto"/>
              <w:jc w:val="center"/>
              <w:rPr>
                <w:rFonts w:ascii="Arial" w:eastAsia="Calibri" w:hAnsi="Arial" w:cs="Arial"/>
              </w:rPr>
            </w:pPr>
          </w:p>
        </w:tc>
        <w:tc>
          <w:tcPr>
            <w:tcW w:w="3577" w:type="dxa"/>
            <w:vMerge/>
            <w:shd w:val="clear" w:color="auto" w:fill="auto"/>
            <w:vAlign w:val="bottom"/>
          </w:tcPr>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p>
        </w:tc>
      </w:tr>
    </w:tbl>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Default="004642E2" w:rsidP="004642E2">
      <w:pPr>
        <w:autoSpaceDE w:val="0"/>
        <w:autoSpaceDN w:val="0"/>
        <w:adjustRightInd w:val="0"/>
        <w:spacing w:after="0" w:line="240" w:lineRule="auto"/>
        <w:ind w:left="57"/>
        <w:jc w:val="both"/>
        <w:rPr>
          <w:rFonts w:ascii="Arial" w:eastAsia="Times New Roman" w:hAnsi="Arial" w:cs="Arial"/>
        </w:rPr>
      </w:pPr>
    </w:p>
    <w:p w:rsidR="004642E2" w:rsidRDefault="004642E2" w:rsidP="004642E2">
      <w:pPr>
        <w:autoSpaceDE w:val="0"/>
        <w:autoSpaceDN w:val="0"/>
        <w:adjustRightInd w:val="0"/>
        <w:spacing w:after="0" w:line="240" w:lineRule="auto"/>
        <w:ind w:left="57"/>
        <w:jc w:val="both"/>
        <w:rPr>
          <w:rFonts w:ascii="Arial" w:eastAsia="Times New Roman" w:hAnsi="Arial" w:cs="Arial"/>
        </w:rPr>
      </w:pPr>
    </w:p>
    <w:p w:rsidR="004642E2" w:rsidRDefault="004642E2"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Pr="003832E0" w:rsidRDefault="008A7F4E"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rPr>
        <w:t>______________________________________________________________________________</w:t>
      </w:r>
    </w:p>
    <w:p w:rsidR="000A02EE" w:rsidRPr="004642E2"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b/>
        </w:rPr>
        <w:t>Navodilo</w:t>
      </w:r>
      <w:r w:rsidRPr="003832E0">
        <w:rPr>
          <w:rFonts w:ascii="Arial" w:eastAsia="Times New Roman" w:hAnsi="Arial" w:cs="Arial"/>
        </w:rPr>
        <w:t>: Ponudnik mora obrazec št. 1</w:t>
      </w:r>
      <w:r w:rsidR="00DD2708">
        <w:rPr>
          <w:rFonts w:ascii="Arial" w:eastAsia="Times New Roman" w:hAnsi="Arial" w:cs="Arial"/>
        </w:rPr>
        <w:t>0</w:t>
      </w:r>
      <w:r w:rsidR="008A7F4E">
        <w:rPr>
          <w:rFonts w:ascii="Arial" w:eastAsia="Times New Roman" w:hAnsi="Arial" w:cs="Arial"/>
        </w:rPr>
        <w:t xml:space="preserve"> izpolniti. Pri opcijah a in b mora obkrožiti izbrano opcijo. </w:t>
      </w:r>
      <w:r w:rsidRPr="003832E0">
        <w:rPr>
          <w:rFonts w:ascii="Arial" w:eastAsia="Times New Roman" w:hAnsi="Arial" w:cs="Arial"/>
        </w:rPr>
        <w:t>Izjava mora biti datirana, žigosana in podpisana s strani osebe, ki je podpisnik ponudbe. Ponudnik s svojim podpisom jamči za resničnost navedbe.</w:t>
      </w:r>
    </w:p>
    <w:sectPr w:rsidR="000A02EE" w:rsidRPr="004642E2" w:rsidSect="004642E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77BFC"/>
    <w:multiLevelType w:val="hybridMultilevel"/>
    <w:tmpl w:val="A3685014"/>
    <w:lvl w:ilvl="0" w:tplc="4648A6EC">
      <w:start w:val="2"/>
      <w:numFmt w:val="lowerLetter"/>
      <w:lvlText w:val="%1)"/>
      <w:lvlJc w:val="left"/>
      <w:pPr>
        <w:tabs>
          <w:tab w:val="num" w:pos="1497"/>
        </w:tabs>
        <w:ind w:left="1497"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4773510E"/>
    <w:multiLevelType w:val="hybridMultilevel"/>
    <w:tmpl w:val="BA1C33EC"/>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rFonts w:hint="default"/>
        <w:color w:val="auto"/>
      </w:rPr>
    </w:lvl>
    <w:lvl w:ilvl="2" w:tplc="0424001B" w:tentative="1">
      <w:start w:val="1"/>
      <w:numFmt w:val="lowerRoman"/>
      <w:lvlText w:val="%3."/>
      <w:lvlJc w:val="right"/>
      <w:pPr>
        <w:tabs>
          <w:tab w:val="num" w:pos="2217"/>
        </w:tabs>
        <w:ind w:left="2217" w:hanging="180"/>
      </w:pPr>
    </w:lvl>
    <w:lvl w:ilvl="3" w:tplc="0424000F" w:tentative="1">
      <w:start w:val="1"/>
      <w:numFmt w:val="decimal"/>
      <w:lvlText w:val="%4."/>
      <w:lvlJc w:val="left"/>
      <w:pPr>
        <w:tabs>
          <w:tab w:val="num" w:pos="2937"/>
        </w:tabs>
        <w:ind w:left="2937" w:hanging="360"/>
      </w:pPr>
    </w:lvl>
    <w:lvl w:ilvl="4" w:tplc="04240019" w:tentative="1">
      <w:start w:val="1"/>
      <w:numFmt w:val="lowerLetter"/>
      <w:lvlText w:val="%5."/>
      <w:lvlJc w:val="left"/>
      <w:pPr>
        <w:tabs>
          <w:tab w:val="num" w:pos="3657"/>
        </w:tabs>
        <w:ind w:left="3657" w:hanging="360"/>
      </w:pPr>
    </w:lvl>
    <w:lvl w:ilvl="5" w:tplc="0424001B" w:tentative="1">
      <w:start w:val="1"/>
      <w:numFmt w:val="lowerRoman"/>
      <w:lvlText w:val="%6."/>
      <w:lvlJc w:val="right"/>
      <w:pPr>
        <w:tabs>
          <w:tab w:val="num" w:pos="4377"/>
        </w:tabs>
        <w:ind w:left="4377" w:hanging="180"/>
      </w:pPr>
    </w:lvl>
    <w:lvl w:ilvl="6" w:tplc="0424000F" w:tentative="1">
      <w:start w:val="1"/>
      <w:numFmt w:val="decimal"/>
      <w:lvlText w:val="%7."/>
      <w:lvlJc w:val="left"/>
      <w:pPr>
        <w:tabs>
          <w:tab w:val="num" w:pos="5097"/>
        </w:tabs>
        <w:ind w:left="5097" w:hanging="360"/>
      </w:pPr>
    </w:lvl>
    <w:lvl w:ilvl="7" w:tplc="04240019" w:tentative="1">
      <w:start w:val="1"/>
      <w:numFmt w:val="lowerLetter"/>
      <w:lvlText w:val="%8."/>
      <w:lvlJc w:val="left"/>
      <w:pPr>
        <w:tabs>
          <w:tab w:val="num" w:pos="5817"/>
        </w:tabs>
        <w:ind w:left="5817" w:hanging="360"/>
      </w:pPr>
    </w:lvl>
    <w:lvl w:ilvl="8" w:tplc="0424001B" w:tentative="1">
      <w:start w:val="1"/>
      <w:numFmt w:val="lowerRoman"/>
      <w:lvlText w:val="%9."/>
      <w:lvlJc w:val="right"/>
      <w:pPr>
        <w:tabs>
          <w:tab w:val="num" w:pos="6537"/>
        </w:tabs>
        <w:ind w:left="653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642E2"/>
    <w:rsid w:val="00020DFC"/>
    <w:rsid w:val="00071AA2"/>
    <w:rsid w:val="000A02EE"/>
    <w:rsid w:val="00197E6E"/>
    <w:rsid w:val="002F2572"/>
    <w:rsid w:val="003339BF"/>
    <w:rsid w:val="00396F71"/>
    <w:rsid w:val="0041319C"/>
    <w:rsid w:val="004642E2"/>
    <w:rsid w:val="005168B6"/>
    <w:rsid w:val="0056267E"/>
    <w:rsid w:val="00641AD6"/>
    <w:rsid w:val="006B48B2"/>
    <w:rsid w:val="007D6F40"/>
    <w:rsid w:val="00804AF7"/>
    <w:rsid w:val="00811D6A"/>
    <w:rsid w:val="008A7F4E"/>
    <w:rsid w:val="00982FC7"/>
    <w:rsid w:val="009A3CA9"/>
    <w:rsid w:val="00A5494E"/>
    <w:rsid w:val="00AE4487"/>
    <w:rsid w:val="00BF0D80"/>
    <w:rsid w:val="00C35F31"/>
    <w:rsid w:val="00C36082"/>
    <w:rsid w:val="00C40D57"/>
    <w:rsid w:val="00D037E4"/>
    <w:rsid w:val="00DD2708"/>
    <w:rsid w:val="00E428B8"/>
    <w:rsid w:val="00E61238"/>
    <w:rsid w:val="00E93230"/>
    <w:rsid w:val="00F90469"/>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642E2"/>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A7F4E"/>
    <w:pPr>
      <w:ind w:left="720"/>
      <w:contextualSpacing/>
    </w:pPr>
  </w:style>
  <w:style w:type="paragraph" w:styleId="Besedilooblaka">
    <w:name w:val="Balloon Text"/>
    <w:basedOn w:val="Navaden"/>
    <w:link w:val="BesedilooblakaZnak"/>
    <w:uiPriority w:val="99"/>
    <w:semiHidden/>
    <w:unhideWhenUsed/>
    <w:rsid w:val="007D6F4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6F4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Fink</dc:creator>
  <cp:lastModifiedBy>tict</cp:lastModifiedBy>
  <cp:revision>2</cp:revision>
  <cp:lastPrinted>2015-06-18T07:34:00Z</cp:lastPrinted>
  <dcterms:created xsi:type="dcterms:W3CDTF">2015-08-05T09:52:00Z</dcterms:created>
  <dcterms:modified xsi:type="dcterms:W3CDTF">2015-08-05T09:52:00Z</dcterms:modified>
</cp:coreProperties>
</file>