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288" w:rsidRDefault="00270AF5" w:rsidP="008C11F5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Na podlagi 7</w:t>
      </w:r>
      <w:r w:rsidR="00633288" w:rsidRPr="008C11F5">
        <w:rPr>
          <w:rFonts w:ascii="Times New Roman" w:hAnsi="Times New Roman" w:cs="Times New Roman"/>
          <w:sz w:val="24"/>
          <w:szCs w:val="24"/>
        </w:rPr>
        <w:t xml:space="preserve">. člena Pravilnika o dodelitvi </w:t>
      </w:r>
      <w:r w:rsidR="00AA7157">
        <w:rPr>
          <w:rFonts w:ascii="Times New Roman" w:hAnsi="Times New Roman" w:cs="Times New Roman"/>
          <w:sz w:val="24"/>
          <w:szCs w:val="24"/>
        </w:rPr>
        <w:t>proračunskih sredstev za namen pokroviteljstva in donatorstva v Občini Oplotnica (UGSO, št. 49</w:t>
      </w:r>
      <w:r w:rsidR="00633288" w:rsidRPr="008C11F5">
        <w:rPr>
          <w:rFonts w:ascii="Times New Roman" w:hAnsi="Times New Roman" w:cs="Times New Roman"/>
          <w:sz w:val="24"/>
          <w:szCs w:val="24"/>
        </w:rPr>
        <w:t xml:space="preserve">/16) </w:t>
      </w:r>
      <w:r>
        <w:rPr>
          <w:rFonts w:ascii="Times New Roman" w:hAnsi="Times New Roman" w:cs="Times New Roman"/>
          <w:sz w:val="24"/>
          <w:szCs w:val="24"/>
        </w:rPr>
        <w:t>Občina Oplotnica</w:t>
      </w:r>
      <w:r w:rsidR="00633288" w:rsidRPr="008C11F5">
        <w:rPr>
          <w:rFonts w:ascii="Times New Roman" w:hAnsi="Times New Roman" w:cs="Times New Roman"/>
          <w:sz w:val="24"/>
          <w:szCs w:val="24"/>
        </w:rPr>
        <w:t>, razpisuje</w:t>
      </w:r>
    </w:p>
    <w:p w:rsidR="00DD089F" w:rsidRPr="008C11F5" w:rsidRDefault="00DD089F" w:rsidP="008C11F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089F" w:rsidRPr="008C11F5" w:rsidRDefault="00633288" w:rsidP="00DD08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11F5">
        <w:rPr>
          <w:rFonts w:ascii="Times New Roman" w:hAnsi="Times New Roman" w:cs="Times New Roman"/>
          <w:b/>
          <w:sz w:val="24"/>
          <w:szCs w:val="24"/>
        </w:rPr>
        <w:t xml:space="preserve">Javni razpis za dodelitev </w:t>
      </w:r>
      <w:r w:rsidR="00AA7157" w:rsidRPr="00AA7157">
        <w:rPr>
          <w:rFonts w:ascii="Times New Roman" w:hAnsi="Times New Roman" w:cs="Times New Roman"/>
          <w:b/>
          <w:sz w:val="24"/>
          <w:szCs w:val="24"/>
        </w:rPr>
        <w:t xml:space="preserve">proračunskih sredstev za namen pokroviteljstva in donatorstva v Občini Oplotnica </w:t>
      </w:r>
      <w:r w:rsidR="00270AF5">
        <w:rPr>
          <w:rFonts w:ascii="Times New Roman" w:hAnsi="Times New Roman" w:cs="Times New Roman"/>
          <w:b/>
          <w:sz w:val="24"/>
          <w:szCs w:val="24"/>
        </w:rPr>
        <w:t>za leto 2017</w:t>
      </w:r>
    </w:p>
    <w:p w:rsidR="00270AF5" w:rsidRPr="008C11F5" w:rsidRDefault="00633288" w:rsidP="008C1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F5">
        <w:rPr>
          <w:rFonts w:ascii="Times New Roman" w:hAnsi="Times New Roman" w:cs="Times New Roman"/>
          <w:b/>
          <w:sz w:val="24"/>
          <w:szCs w:val="24"/>
        </w:rPr>
        <w:t>I. PREDMET JAVNEGA RAZPISA</w:t>
      </w:r>
    </w:p>
    <w:p w:rsidR="00270AF5" w:rsidRPr="00270AF5" w:rsidRDefault="00633288" w:rsidP="00270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 xml:space="preserve">Predmet javnega razpisa je </w:t>
      </w:r>
      <w:r w:rsidR="00270AF5" w:rsidRPr="00270AF5">
        <w:rPr>
          <w:rFonts w:ascii="Times New Roman" w:hAnsi="Times New Roman" w:cs="Times New Roman"/>
          <w:sz w:val="24"/>
          <w:szCs w:val="24"/>
        </w:rPr>
        <w:t>sofinanciranje prireditev in dejavnosti, katerih programi izpolnjujejo najmanj 4 od spodaj navedenih pogojev: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imajo prepoznavno vsebino in značaj,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utrjujejo in promovirajo pozitivne vrednote (demokratične vrednote, človekove pravice in druga temeljna načela, zapisana v statutu občine in Ustavi RS),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so socialne, kulturne, umetniške, izobraževalne, športne, humanitarne in podobne narave,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promovirajo občino oziroma širijo njene razvojne potenciale,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so odprtega značaja, dostopne širšemu krogu in pretežno brezplačne za obiskovalce,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bodo izvedene v tekočem proračunskem letu,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imajo ob prijavi jasno in pregledno finančno konstrukcijo prihodkov in odhodkov in zagotovljene vire financiranja,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so neposredno vezana na med regijsko in mednarodno sodelovanje,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jih organizirajo mladi ali so namenjene mladim,</w:t>
      </w:r>
    </w:p>
    <w:p w:rsidR="00270AF5" w:rsidRPr="00270AF5" w:rsidRDefault="00270AF5" w:rsidP="00270AF5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>so neposredno namenjena plačilu stroškov sprejema in pogostitve ob pomembnejših jubilejih, obiskih in drugih priložnosti oziroma pomoč pri tem.</w:t>
      </w:r>
    </w:p>
    <w:p w:rsidR="00270AF5" w:rsidRPr="00270AF5" w:rsidRDefault="00270AF5" w:rsidP="00270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70AF5" w:rsidRPr="00270AF5" w:rsidRDefault="00270AF5" w:rsidP="00270A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0AF5">
        <w:rPr>
          <w:rFonts w:ascii="Times New Roman" w:hAnsi="Times New Roman" w:cs="Times New Roman"/>
          <w:sz w:val="24"/>
          <w:szCs w:val="24"/>
        </w:rPr>
        <w:t xml:space="preserve">Sredstva, dodeljena na podlagi tega pravilnika, niso namenjena aktivnostim političnih strank, komercialnim in profitnim organizacijam in tudi ne sofinanciranju komercialnih in profitnih prireditev ter </w:t>
      </w:r>
      <w:r w:rsidR="00834F7F">
        <w:rPr>
          <w:rFonts w:ascii="Times New Roman" w:hAnsi="Times New Roman" w:cs="Times New Roman"/>
          <w:sz w:val="24"/>
          <w:szCs w:val="24"/>
        </w:rPr>
        <w:t>dejavnosti</w:t>
      </w:r>
      <w:r w:rsidRPr="00270AF5">
        <w:rPr>
          <w:rFonts w:ascii="Times New Roman" w:hAnsi="Times New Roman" w:cs="Times New Roman"/>
          <w:sz w:val="24"/>
          <w:szCs w:val="24"/>
        </w:rPr>
        <w:t>.</w:t>
      </w: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F5">
        <w:rPr>
          <w:rFonts w:ascii="Times New Roman" w:hAnsi="Times New Roman" w:cs="Times New Roman"/>
          <w:b/>
          <w:sz w:val="24"/>
          <w:szCs w:val="24"/>
        </w:rPr>
        <w:t>II. VIŠINA SREDSTEV</w:t>
      </w: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 xml:space="preserve">Sredstva so zagotovljena v proračunu Občine </w:t>
      </w:r>
      <w:r w:rsidR="00411D89">
        <w:rPr>
          <w:rFonts w:ascii="Times New Roman" w:hAnsi="Times New Roman" w:cs="Times New Roman"/>
          <w:sz w:val="24"/>
          <w:szCs w:val="24"/>
        </w:rPr>
        <w:t>Oplotnica</w:t>
      </w:r>
      <w:r w:rsidRPr="008C11F5">
        <w:rPr>
          <w:rFonts w:ascii="Times New Roman" w:hAnsi="Times New Roman" w:cs="Times New Roman"/>
          <w:sz w:val="24"/>
          <w:szCs w:val="24"/>
        </w:rPr>
        <w:t xml:space="preserve"> za leto 201</w:t>
      </w:r>
      <w:r w:rsidR="00411D89">
        <w:rPr>
          <w:rFonts w:ascii="Times New Roman" w:hAnsi="Times New Roman" w:cs="Times New Roman"/>
          <w:sz w:val="24"/>
          <w:szCs w:val="24"/>
        </w:rPr>
        <w:t xml:space="preserve">7 v okvirni višini 3.000,00 </w:t>
      </w:r>
      <w:r w:rsidRPr="008C11F5">
        <w:rPr>
          <w:rFonts w:ascii="Times New Roman" w:hAnsi="Times New Roman" w:cs="Times New Roman"/>
          <w:sz w:val="24"/>
          <w:szCs w:val="24"/>
        </w:rPr>
        <w:t>EUR.</w:t>
      </w:r>
    </w:p>
    <w:p w:rsidR="00411D89" w:rsidRPr="00411D89" w:rsidRDefault="00411D89" w:rsidP="004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Upravičencem se lahko po namenu dodelijo finančna sredstva</w:t>
      </w:r>
      <w:r w:rsidR="00AA7157">
        <w:rPr>
          <w:rFonts w:ascii="Times New Roman" w:hAnsi="Times New Roman" w:cs="Times New Roman"/>
          <w:sz w:val="24"/>
          <w:szCs w:val="24"/>
        </w:rPr>
        <w:t>:</w:t>
      </w:r>
      <w:r w:rsidRPr="00411D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11D89" w:rsidRPr="00411D89" w:rsidRDefault="00AA7157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11D89" w:rsidRPr="00411D89">
        <w:rPr>
          <w:rFonts w:ascii="Times New Roman" w:hAnsi="Times New Roman" w:cs="Times New Roman"/>
          <w:sz w:val="24"/>
          <w:szCs w:val="24"/>
        </w:rPr>
        <w:t>50 evrov za sofinanciranje manjših prireditev in dejavnosti,</w:t>
      </w:r>
    </w:p>
    <w:p w:rsidR="00411D89" w:rsidRPr="00411D89" w:rsidRDefault="00AA7157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11D89" w:rsidRPr="00411D89">
        <w:rPr>
          <w:rFonts w:ascii="Times New Roman" w:hAnsi="Times New Roman" w:cs="Times New Roman"/>
          <w:sz w:val="24"/>
          <w:szCs w:val="24"/>
        </w:rPr>
        <w:t>100 evrov za sofinanciranje večjih prireditev in dejavnosti,</w:t>
      </w:r>
    </w:p>
    <w:p w:rsidR="00411D89" w:rsidRPr="00411D89" w:rsidRDefault="00AA7157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11D89" w:rsidRPr="00411D89">
        <w:rPr>
          <w:rFonts w:ascii="Times New Roman" w:hAnsi="Times New Roman" w:cs="Times New Roman"/>
          <w:sz w:val="24"/>
          <w:szCs w:val="24"/>
        </w:rPr>
        <w:t>150 evrov za sofinanciranje večjih prireditev in dejavnosti, ki so postala že tradicionalna in za občino večjega pomena,</w:t>
      </w:r>
    </w:p>
    <w:p w:rsidR="00411D89" w:rsidRPr="00411D89" w:rsidRDefault="00AA7157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11D89" w:rsidRPr="00411D89">
        <w:rPr>
          <w:rFonts w:ascii="Times New Roman" w:hAnsi="Times New Roman" w:cs="Times New Roman"/>
          <w:sz w:val="24"/>
          <w:szCs w:val="24"/>
        </w:rPr>
        <w:t>200 evrov za sofinanciranje večjih prireditev in dejavnosti z med-regijsko in mednarodno udeležbo,</w:t>
      </w:r>
    </w:p>
    <w:p w:rsidR="00411D89" w:rsidRPr="00411D89" w:rsidRDefault="00AA7157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411D89" w:rsidRPr="00411D89">
        <w:rPr>
          <w:rFonts w:ascii="Times New Roman" w:hAnsi="Times New Roman" w:cs="Times New Roman"/>
          <w:sz w:val="24"/>
          <w:szCs w:val="24"/>
        </w:rPr>
        <w:t>250 evrov za sofinanciranje večjih prireditev in dejavnosti, ki so postala že tradicionalna in za občino večjega pomena, z med-regijsko in mednarodno udeležbo ali z velikim promocijskim učinkom, ki trajajo dalj časa,</w:t>
      </w:r>
    </w:p>
    <w:p w:rsidR="00AA7157" w:rsidRDefault="00411D89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400 evrov ali več za sofinanciranje večjih prireditev in dejavnosti po posebni odločitvi župana na podlagi ustrezne utemeljitve komisije, vendar največ do 600 evrov.</w:t>
      </w:r>
    </w:p>
    <w:p w:rsidR="00B04ED7" w:rsidRDefault="00411D89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157">
        <w:rPr>
          <w:rFonts w:ascii="Times New Roman" w:hAnsi="Times New Roman" w:cs="Times New Roman"/>
          <w:sz w:val="24"/>
          <w:szCs w:val="24"/>
        </w:rPr>
        <w:lastRenderedPageBreak/>
        <w:t>Število predvidenih udeležencev prireditve v primeru manjše prireditve je do 150 ali manj, v primeru večje prireditve pa več kot 150 udeležencev.</w:t>
      </w:r>
    </w:p>
    <w:p w:rsidR="00A3639E" w:rsidRPr="00AA7157" w:rsidRDefault="00A3639E" w:rsidP="00A363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1D89" w:rsidRDefault="00A3639E" w:rsidP="004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639E">
        <w:rPr>
          <w:rFonts w:ascii="Times New Roman" w:hAnsi="Times New Roman" w:cs="Times New Roman"/>
          <w:sz w:val="24"/>
          <w:szCs w:val="24"/>
        </w:rPr>
        <w:t>Najvišji možni odstotek sofinanciranja znaša (ne glede na število doseženih točk) do največ 50 % upravičenih stroškov celotne vrednost</w:t>
      </w:r>
      <w:r>
        <w:rPr>
          <w:rFonts w:ascii="Times New Roman" w:hAnsi="Times New Roman" w:cs="Times New Roman"/>
          <w:sz w:val="24"/>
          <w:szCs w:val="24"/>
        </w:rPr>
        <w:t>i izvedenega programa prireditve ali dejavnosti.</w:t>
      </w:r>
    </w:p>
    <w:p w:rsidR="00A3639E" w:rsidRPr="00411D89" w:rsidRDefault="00A3639E" w:rsidP="004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F5">
        <w:rPr>
          <w:rFonts w:ascii="Times New Roman" w:hAnsi="Times New Roman" w:cs="Times New Roman"/>
          <w:b/>
          <w:sz w:val="24"/>
          <w:szCs w:val="24"/>
        </w:rPr>
        <w:t>III. UPRAVIČENCI</w:t>
      </w:r>
    </w:p>
    <w:p w:rsidR="00411D89" w:rsidRPr="00411D89" w:rsidRDefault="00411D89" w:rsidP="004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Upravičenci dodelitve proračunskih sredstev po tem pravilniku so:</w:t>
      </w:r>
    </w:p>
    <w:p w:rsidR="00411D89" w:rsidRPr="00411D89" w:rsidRDefault="00411D89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fizične in pravne osebe s sedežem na območju občine,</w:t>
      </w:r>
    </w:p>
    <w:p w:rsidR="00411D89" w:rsidRPr="00411D89" w:rsidRDefault="00411D89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fizične in pravne osebe s sedežem na območju druge občine, če prireditev ali dejavnost organizirajo na območju občine Oplotnica,</w:t>
      </w:r>
    </w:p>
    <w:p w:rsidR="00411D89" w:rsidRDefault="00411D89" w:rsidP="00411D89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fizične in pravne osebe s sedežem na območju druge občine, če je njihova prireditev ali dejavnost, ki je organizirana izven območja občine, pomembna za občino Oplotnica.</w:t>
      </w:r>
    </w:p>
    <w:p w:rsidR="00411D89" w:rsidRDefault="00411D89" w:rsidP="00411D89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11D89" w:rsidRDefault="00411D89" w:rsidP="004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Do pokroviteljskih oz. donatorskih sredstev niso upravičeni vlagatelji:</w:t>
      </w:r>
    </w:p>
    <w:p w:rsidR="00411D89" w:rsidRPr="00411D89" w:rsidRDefault="00411D89" w:rsidP="00411D89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ki imajo aktivnost vključeno v letni program dela, s katerim kandidirajo na druge razpise občine,</w:t>
      </w:r>
    </w:p>
    <w:p w:rsidR="00B04ED7" w:rsidRPr="00780FB8" w:rsidRDefault="00411D89" w:rsidP="00780FB8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1D89">
        <w:rPr>
          <w:rFonts w:ascii="Times New Roman" w:hAnsi="Times New Roman" w:cs="Times New Roman"/>
          <w:sz w:val="24"/>
          <w:szCs w:val="24"/>
        </w:rPr>
        <w:t>ki so za prijavljeno aktivnost že dobili proračunska sredstva občine, ki so v tekočem proračunskem letu že prejeli pokroviteljska oz. donatorska sredstva</w:t>
      </w:r>
    </w:p>
    <w:p w:rsidR="00411D89" w:rsidRPr="00411D89" w:rsidRDefault="00411D89" w:rsidP="00411D8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F5">
        <w:rPr>
          <w:rFonts w:ascii="Times New Roman" w:hAnsi="Times New Roman" w:cs="Times New Roman"/>
          <w:b/>
          <w:sz w:val="24"/>
          <w:szCs w:val="24"/>
        </w:rPr>
        <w:t>IV. OBRAVNAVA VLOGE</w:t>
      </w: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1F5">
        <w:rPr>
          <w:rFonts w:ascii="Times New Roman" w:hAnsi="Times New Roman" w:cs="Times New Roman"/>
          <w:sz w:val="24"/>
          <w:szCs w:val="24"/>
          <w:u w:val="single"/>
        </w:rPr>
        <w:t>Komisija</w:t>
      </w:r>
    </w:p>
    <w:p w:rsidR="00633288" w:rsidRDefault="00633288" w:rsidP="0087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>Vse vloge bo obravnavala komisija, ki jo imenuje župan</w:t>
      </w:r>
      <w:r w:rsidR="00411D89">
        <w:rPr>
          <w:rFonts w:ascii="Times New Roman" w:hAnsi="Times New Roman" w:cs="Times New Roman"/>
          <w:sz w:val="24"/>
          <w:szCs w:val="24"/>
        </w:rPr>
        <w:t xml:space="preserve">. </w:t>
      </w:r>
      <w:r w:rsidR="008718CC" w:rsidRPr="008718CC">
        <w:rPr>
          <w:rFonts w:ascii="Times New Roman" w:hAnsi="Times New Roman" w:cs="Times New Roman"/>
          <w:sz w:val="24"/>
          <w:szCs w:val="24"/>
        </w:rPr>
        <w:t>Komisija se praviloma sestane ob koncu vsakega polletja in obravnava vse tekoče prispele vloge, v drugem polletju pa v času od 15. do 30. novembra. Vloge komisija obravnava po vrstnem redu, kot so prispele in sicer do porabe proračunskih sredstev na tej proračunski postavki. V vsakem polletju lahko komisija predlaga razporeditev do ene polovice proračunskih sredstev, predvidenih za ta namen.</w:t>
      </w:r>
    </w:p>
    <w:p w:rsidR="00411D89" w:rsidRPr="008C11F5" w:rsidRDefault="00411D89" w:rsidP="00411D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1F5">
        <w:rPr>
          <w:rFonts w:ascii="Times New Roman" w:hAnsi="Times New Roman" w:cs="Times New Roman"/>
          <w:sz w:val="24"/>
          <w:szCs w:val="24"/>
          <w:u w:val="single"/>
        </w:rPr>
        <w:t>Popolnost vloge</w:t>
      </w:r>
    </w:p>
    <w:p w:rsidR="008718CC" w:rsidRPr="008718CC" w:rsidRDefault="008718CC" w:rsidP="008718C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 xml:space="preserve">Za dodelitev proračunskih sredstev prosilec zaprosi s pisno vlogo, ki jo naslovi na Občino Oplotnica, Goriška cesta 4, 2317 Oplotnica. Vloga je popolna, če vsebuje podatke in dokazila: </w:t>
      </w:r>
    </w:p>
    <w:p w:rsidR="008718CC" w:rsidRPr="008718CC" w:rsidRDefault="008718CC" w:rsidP="008718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podatke o vlagatelju,</w:t>
      </w:r>
    </w:p>
    <w:p w:rsidR="008718CC" w:rsidRPr="008718CC" w:rsidRDefault="008718CC" w:rsidP="008718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podatke o dogodku (vsebina, udeležba),</w:t>
      </w:r>
    </w:p>
    <w:p w:rsidR="008718CC" w:rsidRPr="008718CC" w:rsidRDefault="008718CC" w:rsidP="008718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finančni načrt dogodka (viri, prihodki, odhodki),</w:t>
      </w:r>
    </w:p>
    <w:p w:rsidR="008718CC" w:rsidRPr="008718CC" w:rsidRDefault="008718CC" w:rsidP="008718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 xml:space="preserve">številko transakcijskega računa za nakazilo pokroviteljskih oz. donatorskih sredstev, </w:t>
      </w:r>
    </w:p>
    <w:p w:rsidR="008718CC" w:rsidRPr="008718CC" w:rsidRDefault="008718CC" w:rsidP="008718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davčno številko in izjavo, ali gre za davčnega zavezanca,</w:t>
      </w:r>
    </w:p>
    <w:p w:rsidR="00A3639E" w:rsidRDefault="008718CC" w:rsidP="008718CC">
      <w:pPr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 xml:space="preserve">izjavo in dokazila, da vlagatelj izpolnjuje pogoje iz tega pravilnika in razpisa. </w:t>
      </w:r>
    </w:p>
    <w:p w:rsidR="00780FB8" w:rsidRPr="00780FB8" w:rsidRDefault="00780FB8" w:rsidP="00780FB8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8665EA" w:rsidRDefault="008718CC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Če vloga ob vložitvi ni popolna, komisije prosilca pozove, naj vlogo v roku 15 dni dopolni. Če tega ne stori oz. je vloga kljub dopolnitvi še vedno nepopolna, komisija predlaga županu, da vlogo s sklepom zavrže. Prosilci lahko oddajo vlogo za dodelitev proračunskih sredstev po tem pravilniku kadarkoli v okviru tekočega leta, vendar najkasneje</w:t>
      </w:r>
      <w:r w:rsidR="00B04ED7">
        <w:rPr>
          <w:rFonts w:ascii="Times New Roman" w:hAnsi="Times New Roman" w:cs="Times New Roman"/>
          <w:sz w:val="24"/>
          <w:szCs w:val="24"/>
        </w:rPr>
        <w:t xml:space="preserve"> do 15. novembra za tekoče leto.</w:t>
      </w:r>
    </w:p>
    <w:p w:rsidR="00F336E4" w:rsidRDefault="00F336E4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718CC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  <w:u w:val="single"/>
        </w:rPr>
        <w:t>Ocenjevalni postopek in merila</w:t>
      </w: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>Popolne vloge bo komisija pregledala in jih na podlagi izpolnjevanja pogojev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 navedenih v razpisu uvrstila v </w:t>
      </w:r>
      <w:r w:rsidRPr="008C11F5">
        <w:rPr>
          <w:rFonts w:ascii="Times New Roman" w:hAnsi="Times New Roman" w:cs="Times New Roman"/>
          <w:sz w:val="24"/>
          <w:szCs w:val="24"/>
        </w:rPr>
        <w:t>ocenjevalni postopek. Pri ocenjevan</w:t>
      </w:r>
      <w:r w:rsidR="008718CC">
        <w:rPr>
          <w:rFonts w:ascii="Times New Roman" w:hAnsi="Times New Roman" w:cs="Times New Roman"/>
          <w:sz w:val="24"/>
          <w:szCs w:val="24"/>
        </w:rPr>
        <w:t xml:space="preserve">ju vloge se uporabijo merila za </w:t>
      </w:r>
      <w:r w:rsidRPr="008C11F5">
        <w:rPr>
          <w:rFonts w:ascii="Times New Roman" w:hAnsi="Times New Roman" w:cs="Times New Roman"/>
          <w:sz w:val="24"/>
          <w:szCs w:val="24"/>
        </w:rPr>
        <w:t>točkovanje posamezne aktivnosti:</w:t>
      </w:r>
    </w:p>
    <w:p w:rsidR="00A3639E" w:rsidRPr="00E6483D" w:rsidRDefault="008718CC" w:rsidP="00E6483D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83D">
        <w:rPr>
          <w:rFonts w:ascii="Times New Roman" w:hAnsi="Times New Roman" w:cs="Times New Roman"/>
          <w:sz w:val="24"/>
          <w:szCs w:val="24"/>
        </w:rPr>
        <w:t>kakovost, možnost izvedbe in dostopnost prireditve oz. dejavnosti,</w:t>
      </w:r>
      <w:r w:rsidR="00AA7157" w:rsidRPr="00E6483D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718CC" w:rsidRPr="00E6483D" w:rsidRDefault="00A3639E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Kakovost:</w:t>
      </w:r>
      <w:r w:rsidR="00AA7157" w:rsidRPr="00E6483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A3639E" w:rsidRPr="00A3639E" w:rsidRDefault="00A3639E" w:rsidP="00A3639E">
      <w:pPr>
        <w:pStyle w:val="BodyText2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</w:t>
      </w:r>
      <w:r w:rsidRPr="00A3639E">
        <w:rPr>
          <w:color w:val="000000"/>
          <w:sz w:val="24"/>
          <w:szCs w:val="24"/>
        </w:rPr>
        <w:t>cenjuje se vsebina programa, način predstavitve, poudarjanje kulturne identitete kraja, projekt je okolju prijazen,…</w:t>
      </w:r>
      <w:r w:rsidRPr="00A3639E">
        <w:rPr>
          <w:sz w:val="24"/>
          <w:szCs w:val="24"/>
        </w:rPr>
        <w:t xml:space="preserve"> </w:t>
      </w:r>
      <w:r w:rsidRPr="00A3639E">
        <w:rPr>
          <w:color w:val="000000"/>
          <w:sz w:val="24"/>
          <w:szCs w:val="24"/>
        </w:rPr>
        <w:t xml:space="preserve">(največ možnih 7 točk):  </w:t>
      </w:r>
    </w:p>
    <w:p w:rsidR="00A3639E" w:rsidRPr="00A3639E" w:rsidRDefault="00A3639E" w:rsidP="00A3639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9"/>
        <w:gridCol w:w="4629"/>
      </w:tblGrid>
      <w:tr w:rsidR="00A3639E" w:rsidRPr="00A3639E" w:rsidTr="00B120D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E" w:rsidRPr="00A3639E" w:rsidRDefault="00A3639E" w:rsidP="00A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36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visoka                                     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E" w:rsidRPr="00A3639E" w:rsidRDefault="00A3639E" w:rsidP="00A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A36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7 točk</w:t>
            </w:r>
          </w:p>
        </w:tc>
      </w:tr>
      <w:tr w:rsidR="00A3639E" w:rsidRPr="00A3639E" w:rsidTr="00B120D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E" w:rsidRPr="00A3639E" w:rsidRDefault="00A3639E" w:rsidP="00A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36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zadovoljiva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E" w:rsidRPr="00A3639E" w:rsidRDefault="00A3639E" w:rsidP="00A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36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točke</w:t>
            </w:r>
          </w:p>
        </w:tc>
      </w:tr>
      <w:tr w:rsidR="00A3639E" w:rsidRPr="00A3639E" w:rsidTr="00B120D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E" w:rsidRPr="00A3639E" w:rsidRDefault="00A3639E" w:rsidP="00A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36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nezadovoljiva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39E" w:rsidRPr="00A3639E" w:rsidRDefault="00A3639E" w:rsidP="00A363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A3639E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0 točk</w:t>
            </w:r>
          </w:p>
        </w:tc>
      </w:tr>
    </w:tbl>
    <w:p w:rsidR="00A3639E" w:rsidRPr="00A3639E" w:rsidRDefault="00A3639E" w:rsidP="00A3639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                                                           </w:t>
      </w:r>
    </w:p>
    <w:p w:rsidR="00A3639E" w:rsidRPr="00E6483D" w:rsidRDefault="00A3639E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 xml:space="preserve">Možnost izvedbe: </w:t>
      </w:r>
    </w:p>
    <w:p w:rsidR="00863089" w:rsidRPr="00863089" w:rsidRDefault="00863089" w:rsidP="0086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863089">
        <w:rPr>
          <w:rFonts w:ascii="Times New Roman" w:eastAsia="Times New Roman" w:hAnsi="Times New Roman" w:cs="Times New Roman"/>
          <w:sz w:val="24"/>
          <w:szCs w:val="24"/>
          <w:lang w:eastAsia="sl-SI"/>
        </w:rPr>
        <w:t>ocenjuje se izvedljivost projekta glede na ekonomičnost in realnost finančne konstrukcije (največ možnih</w:t>
      </w:r>
      <w:r w:rsidRPr="00863089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Pr="00863089">
        <w:rPr>
          <w:rFonts w:ascii="Times New Roman" w:eastAsia="Times New Roman" w:hAnsi="Times New Roman" w:cs="Times New Roman"/>
          <w:sz w:val="24"/>
          <w:szCs w:val="24"/>
          <w:lang w:eastAsia="sl-SI"/>
        </w:rPr>
        <w:t>10 točk):</w:t>
      </w:r>
    </w:p>
    <w:p w:rsidR="00863089" w:rsidRPr="00863089" w:rsidRDefault="00863089" w:rsidP="00863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48"/>
        <w:gridCol w:w="4640"/>
      </w:tblGrid>
      <w:tr w:rsidR="00863089" w:rsidRPr="00863089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50 % in več lastnih sredstev       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</w:t>
            </w:r>
          </w:p>
        </w:tc>
      </w:tr>
      <w:tr w:rsidR="00863089" w:rsidRPr="00863089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40 % - 49 %  lastnih sredstev       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5 točk</w:t>
            </w:r>
          </w:p>
        </w:tc>
      </w:tr>
      <w:tr w:rsidR="00863089" w:rsidRPr="00863089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30 % - 39 %  lastnih sredstev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4 točke</w:t>
            </w:r>
          </w:p>
        </w:tc>
      </w:tr>
      <w:tr w:rsidR="00863089" w:rsidRPr="00863089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20 % - 29 %  lastnih sredstev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3 točke</w:t>
            </w:r>
          </w:p>
        </w:tc>
      </w:tr>
      <w:tr w:rsidR="00863089" w:rsidRPr="00863089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10 % - 19 %  lastnih sredstev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2 točki</w:t>
            </w:r>
          </w:p>
        </w:tc>
      </w:tr>
      <w:tr w:rsidR="00863089" w:rsidRPr="00863089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0 % - 9 %  lastnih sredstev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3089" w:rsidRPr="00863089" w:rsidRDefault="00863089" w:rsidP="008630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863089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 točka</w:t>
            </w:r>
          </w:p>
        </w:tc>
      </w:tr>
    </w:tbl>
    <w:p w:rsidR="00A3639E" w:rsidRDefault="00A3639E" w:rsidP="00A363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3639E" w:rsidRPr="00E6483D" w:rsidRDefault="00A3639E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 xml:space="preserve">Dostopnost: </w:t>
      </w:r>
    </w:p>
    <w:p w:rsidR="00A3639E" w:rsidRDefault="00A3639E" w:rsidP="00A3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Obveščanje javnosti- promocija</w:t>
      </w:r>
      <w:r w:rsidR="00424E58">
        <w:rPr>
          <w:rFonts w:ascii="Times New Roman" w:hAnsi="Times New Roman" w:cs="Times New Roman"/>
          <w:sz w:val="24"/>
          <w:szCs w:val="24"/>
        </w:rPr>
        <w:t xml:space="preserve"> (največ možnih 7 točk)</w:t>
      </w:r>
    </w:p>
    <w:p w:rsidR="00424E58" w:rsidRDefault="00424E58" w:rsidP="00A363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A3639E" w:rsidTr="00A3639E">
        <w:tc>
          <w:tcPr>
            <w:tcW w:w="4606" w:type="dxa"/>
          </w:tcPr>
          <w:p w:rsidR="00A3639E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obveščanje preko lokalnih medijev (Radio, Panorama, Novice…)</w:t>
            </w:r>
          </w:p>
        </w:tc>
        <w:tc>
          <w:tcPr>
            <w:tcW w:w="4606" w:type="dxa"/>
          </w:tcPr>
          <w:p w:rsidR="00A3639E" w:rsidRDefault="00424E58" w:rsidP="00A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točk</w:t>
            </w:r>
          </w:p>
        </w:tc>
      </w:tr>
      <w:tr w:rsidR="00A3639E" w:rsidTr="00A3639E">
        <w:tc>
          <w:tcPr>
            <w:tcW w:w="4606" w:type="dxa"/>
          </w:tcPr>
          <w:p w:rsidR="00A3639E" w:rsidRDefault="00424E58" w:rsidP="00A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obveščanje preko občinskih medijev</w:t>
            </w:r>
          </w:p>
        </w:tc>
        <w:tc>
          <w:tcPr>
            <w:tcW w:w="4606" w:type="dxa"/>
          </w:tcPr>
          <w:p w:rsidR="00A3639E" w:rsidRDefault="00424E58" w:rsidP="00A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točke</w:t>
            </w:r>
          </w:p>
        </w:tc>
      </w:tr>
      <w:tr w:rsidR="00A3639E" w:rsidTr="00A3639E">
        <w:tc>
          <w:tcPr>
            <w:tcW w:w="4606" w:type="dxa"/>
          </w:tcPr>
          <w:p w:rsidR="00A3639E" w:rsidRPr="00A3639E" w:rsidRDefault="00A3639E" w:rsidP="00A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639E">
              <w:rPr>
                <w:rFonts w:ascii="Times New Roman" w:hAnsi="Times New Roman" w:cs="Times New Roman"/>
                <w:sz w:val="24"/>
                <w:szCs w:val="24"/>
              </w:rPr>
              <w:t>obveščanje v ožjem krogu (interno)</w:t>
            </w:r>
          </w:p>
        </w:tc>
        <w:tc>
          <w:tcPr>
            <w:tcW w:w="4606" w:type="dxa"/>
          </w:tcPr>
          <w:p w:rsidR="00A3639E" w:rsidRPr="00E6483D" w:rsidRDefault="00A3639E" w:rsidP="00E6483D">
            <w:pPr>
              <w:pStyle w:val="Odstavekseznama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483D">
              <w:rPr>
                <w:rFonts w:ascii="Times New Roman" w:hAnsi="Times New Roman" w:cs="Times New Roman"/>
                <w:sz w:val="24"/>
                <w:szCs w:val="24"/>
              </w:rPr>
              <w:t>točk</w:t>
            </w:r>
          </w:p>
        </w:tc>
      </w:tr>
    </w:tbl>
    <w:p w:rsidR="00A3639E" w:rsidRPr="00A3639E" w:rsidRDefault="00A3639E" w:rsidP="00A3639E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24E58" w:rsidRPr="00E6483D" w:rsidRDefault="008718CC" w:rsidP="00E6483D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83D">
        <w:rPr>
          <w:rFonts w:ascii="Times New Roman" w:hAnsi="Times New Roman" w:cs="Times New Roman"/>
          <w:sz w:val="24"/>
          <w:szCs w:val="24"/>
        </w:rPr>
        <w:t>pomembnost prireditve za občino in za družbeno življenje občanov,</w:t>
      </w:r>
      <w:r w:rsidR="00AA7157" w:rsidRPr="00E6483D">
        <w:rPr>
          <w:rFonts w:ascii="Times New Roman" w:hAnsi="Times New Roman" w:cs="Times New Roman"/>
          <w:sz w:val="24"/>
          <w:szCs w:val="24"/>
        </w:rPr>
        <w:t xml:space="preserve">     </w:t>
      </w:r>
      <w:r w:rsidRPr="00E648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58" w:rsidRPr="00E6483D" w:rsidRDefault="00424E58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Pomembnost prireditve:</w:t>
      </w:r>
    </w:p>
    <w:p w:rsidR="00E03AA3" w:rsidRPr="00E03AA3" w:rsidRDefault="00E03AA3" w:rsidP="00E0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E03AA3">
        <w:rPr>
          <w:rFonts w:ascii="Times New Roman" w:eastAsia="Times New Roman" w:hAnsi="Times New Roman" w:cs="Times New Roman"/>
          <w:sz w:val="24"/>
          <w:szCs w:val="24"/>
          <w:lang w:eastAsia="sl-SI"/>
        </w:rPr>
        <w:t>izvajalec s svojim projektom ali prireditvijo prispeva in koristi interesom lokalne               skupnosti (največ možnih</w:t>
      </w:r>
      <w:r w:rsidRPr="00E03AA3">
        <w:rPr>
          <w:rFonts w:ascii="Times New Roman" w:eastAsia="Times New Roman" w:hAnsi="Times New Roman" w:cs="Times New Roman"/>
          <w:b/>
          <w:sz w:val="24"/>
          <w:szCs w:val="24"/>
          <w:lang w:eastAsia="sl-SI"/>
        </w:rPr>
        <w:t xml:space="preserve"> </w:t>
      </w:r>
      <w:r w:rsidRPr="00E03AA3">
        <w:rPr>
          <w:rFonts w:ascii="Times New Roman" w:eastAsia="Times New Roman" w:hAnsi="Times New Roman" w:cs="Times New Roman"/>
          <w:sz w:val="24"/>
          <w:szCs w:val="24"/>
          <w:lang w:eastAsia="sl-SI"/>
        </w:rPr>
        <w:t>15 točk):</w:t>
      </w:r>
    </w:p>
    <w:p w:rsidR="00E03AA3" w:rsidRPr="00E03AA3" w:rsidRDefault="00E03AA3" w:rsidP="00E03A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6"/>
        <w:gridCol w:w="4632"/>
      </w:tblGrid>
      <w:tr w:rsidR="00E03AA3" w:rsidRPr="00E03AA3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A3" w:rsidRPr="00E03AA3" w:rsidRDefault="00E03AA3" w:rsidP="00E0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dolgoročne koristi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A3" w:rsidRPr="00E03AA3" w:rsidRDefault="00E03AA3" w:rsidP="00E0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03AA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15 točk</w:t>
            </w:r>
          </w:p>
        </w:tc>
      </w:tr>
      <w:tr w:rsidR="00E03AA3" w:rsidRPr="00E03AA3" w:rsidTr="00F4578E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A3" w:rsidRPr="00E03AA3" w:rsidRDefault="00E03AA3" w:rsidP="00E0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kratkoročne koristi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A3" w:rsidRPr="00E03AA3" w:rsidRDefault="00E03AA3" w:rsidP="00E0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03AA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</w:t>
            </w:r>
          </w:p>
        </w:tc>
      </w:tr>
      <w:tr w:rsidR="00E03AA3" w:rsidRPr="00E03AA3" w:rsidTr="00E03AA3">
        <w:trPr>
          <w:trHeight w:val="271"/>
        </w:trPr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A3" w:rsidRPr="00E03AA3" w:rsidRDefault="00E03AA3" w:rsidP="00E0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enkratne koristi</w:t>
            </w:r>
            <w:r w:rsidRPr="00E03AA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ab/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3AA3" w:rsidRPr="00E03AA3" w:rsidRDefault="00E03AA3" w:rsidP="00E03AA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E03AA3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5 točk</w:t>
            </w:r>
          </w:p>
        </w:tc>
      </w:tr>
    </w:tbl>
    <w:p w:rsidR="00424E58" w:rsidRDefault="00424E5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AA3" w:rsidRDefault="00E03AA3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AA3" w:rsidRDefault="00E03AA3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AA3" w:rsidRDefault="00E03AA3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03AA3" w:rsidRPr="00E03AA3" w:rsidRDefault="00E03AA3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157" w:rsidRPr="00E6483D" w:rsidRDefault="008718CC" w:rsidP="00E6483D">
      <w:pPr>
        <w:pStyle w:val="Odstavekseznam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83D">
        <w:rPr>
          <w:rFonts w:ascii="Times New Roman" w:hAnsi="Times New Roman" w:cs="Times New Roman"/>
          <w:sz w:val="24"/>
          <w:szCs w:val="24"/>
        </w:rPr>
        <w:lastRenderedPageBreak/>
        <w:t>pričakovano udeležbo ter sorazmernost sofinanciranja podobnih</w:t>
      </w:r>
    </w:p>
    <w:p w:rsidR="00424E58" w:rsidRDefault="008718CC" w:rsidP="00A3639E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 xml:space="preserve"> prireditev/dejavnosti,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7157">
        <w:rPr>
          <w:rFonts w:ascii="Times New Roman" w:hAnsi="Times New Roman" w:cs="Times New Roman"/>
          <w:sz w:val="24"/>
          <w:szCs w:val="24"/>
        </w:rPr>
        <w:tab/>
      </w:r>
    </w:p>
    <w:p w:rsidR="00424E58" w:rsidRPr="00E6483D" w:rsidRDefault="00424E58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Pričakovana udeležba:</w:t>
      </w:r>
    </w:p>
    <w:p w:rsidR="00424E58" w:rsidRDefault="00424E5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Ocena število obiskovalcev glede na promocijo (največ možnih 10 točk)</w:t>
      </w:r>
    </w:p>
    <w:p w:rsidR="00424E58" w:rsidRDefault="00424E5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E58" w:rsidTr="00424E58">
        <w:tc>
          <w:tcPr>
            <w:tcW w:w="4606" w:type="dxa"/>
          </w:tcPr>
          <w:p w:rsid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 kot 300 obiskovalcev</w:t>
            </w:r>
          </w:p>
        </w:tc>
        <w:tc>
          <w:tcPr>
            <w:tcW w:w="4606" w:type="dxa"/>
          </w:tcPr>
          <w:p w:rsid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E58" w:rsidTr="00424E58">
        <w:tc>
          <w:tcPr>
            <w:tcW w:w="4606" w:type="dxa"/>
          </w:tcPr>
          <w:p w:rsid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več kot 100 obiskovalcev</w:t>
            </w:r>
          </w:p>
        </w:tc>
        <w:tc>
          <w:tcPr>
            <w:tcW w:w="4606" w:type="dxa"/>
          </w:tcPr>
          <w:p w:rsid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24E58" w:rsidTr="00424E58">
        <w:tc>
          <w:tcPr>
            <w:tcW w:w="4606" w:type="dxa"/>
          </w:tcPr>
          <w:p w:rsid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50 obiskovalcev</w:t>
            </w:r>
          </w:p>
        </w:tc>
        <w:tc>
          <w:tcPr>
            <w:tcW w:w="4606" w:type="dxa"/>
          </w:tcPr>
          <w:p w:rsid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424E58" w:rsidRPr="00424E58" w:rsidRDefault="00424E5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E58" w:rsidRPr="00E6483D" w:rsidRDefault="00424E58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Sorazmernost sofinanciranja podobnih prireditev ali dejavnosti:</w:t>
      </w:r>
      <w:r w:rsidRPr="00E6483D">
        <w:rPr>
          <w:rFonts w:ascii="Times New Roman" w:hAnsi="Times New Roman" w:cs="Times New Roman"/>
          <w:sz w:val="24"/>
          <w:szCs w:val="24"/>
        </w:rPr>
        <w:t xml:space="preserve">  (največ možnih 10 točk)</w:t>
      </w:r>
    </w:p>
    <w:p w:rsidR="00424E58" w:rsidRDefault="00424E5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424E58" w:rsidTr="00424E58">
        <w:tc>
          <w:tcPr>
            <w:tcW w:w="4606" w:type="dxa"/>
          </w:tcPr>
          <w:p w:rsidR="00424E58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 50 %</w:t>
            </w:r>
          </w:p>
        </w:tc>
        <w:tc>
          <w:tcPr>
            <w:tcW w:w="4606" w:type="dxa"/>
          </w:tcPr>
          <w:p w:rsidR="00424E58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24E58" w:rsidTr="00424E58">
        <w:tc>
          <w:tcPr>
            <w:tcW w:w="4606" w:type="dxa"/>
          </w:tcPr>
          <w:p w:rsidR="00424E58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o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4606" w:type="dxa"/>
          </w:tcPr>
          <w:p w:rsidR="00424E58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424E58" w:rsidTr="00424E58">
        <w:tc>
          <w:tcPr>
            <w:tcW w:w="4606" w:type="dxa"/>
          </w:tcPr>
          <w:p w:rsidR="00424E58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o 10 %</w:t>
            </w:r>
          </w:p>
        </w:tc>
        <w:tc>
          <w:tcPr>
            <w:tcW w:w="4606" w:type="dxa"/>
          </w:tcPr>
          <w:p w:rsidR="00424E58" w:rsidRPr="00424E58" w:rsidRDefault="00424E58" w:rsidP="00424E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4E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780FB8" w:rsidRPr="00424E58" w:rsidRDefault="00780FB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8718CC" w:rsidRDefault="008718CC" w:rsidP="00E6483D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preglednost, ekonomičnost in izvedljivost finančne konstrukcije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A71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4E58" w:rsidRPr="00E6483D" w:rsidRDefault="00424E58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Preglednost:</w:t>
      </w:r>
    </w:p>
    <w:p w:rsidR="00424E58" w:rsidRPr="00424E58" w:rsidRDefault="00424E58" w:rsidP="00424E5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C</w:t>
      </w:r>
      <w:r w:rsidRPr="00424E5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ilji ter nameni projektov in prireditev so jasno opredeljeni</w:t>
      </w:r>
      <w:r w:rsidRPr="00424E58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; izvedljivi glede na metode dela in človeške vire </w:t>
      </w:r>
      <w:r w:rsidRPr="00424E5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 xml:space="preserve">(največ možnih </w:t>
      </w:r>
      <w:r w:rsidRPr="00424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>1</w:t>
      </w:r>
      <w:r w:rsidRPr="00424E58">
        <w:rPr>
          <w:rFonts w:ascii="Times New Roman" w:eastAsia="Times New Roman" w:hAnsi="Times New Roman" w:cs="Times New Roman"/>
          <w:color w:val="000000"/>
          <w:sz w:val="24"/>
          <w:szCs w:val="24"/>
          <w:lang w:eastAsia="sl-SI"/>
        </w:rPr>
        <w:t>0 točk)</w:t>
      </w:r>
      <w:r w:rsidRPr="00424E5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sl-SI"/>
        </w:rPr>
        <w:t xml:space="preserve">: </w:t>
      </w:r>
    </w:p>
    <w:p w:rsidR="00424E58" w:rsidRPr="00424E58" w:rsidRDefault="00424E58" w:rsidP="00424E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4628"/>
      </w:tblGrid>
      <w:tr w:rsidR="00424E58" w:rsidRPr="00424E58" w:rsidTr="00B120D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8" w:rsidRPr="00424E58" w:rsidRDefault="00424E58" w:rsidP="0042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24E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visoka                                    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8" w:rsidRPr="00424E58" w:rsidRDefault="00424E58" w:rsidP="0042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24E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10 točk</w:t>
            </w:r>
          </w:p>
        </w:tc>
      </w:tr>
      <w:tr w:rsidR="00424E58" w:rsidRPr="00424E58" w:rsidTr="00B120D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8" w:rsidRPr="00424E58" w:rsidRDefault="00424E58" w:rsidP="0042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24E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zadovoljiva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8" w:rsidRPr="00424E58" w:rsidRDefault="00424E58" w:rsidP="0042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24E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5 točk</w:t>
            </w:r>
          </w:p>
        </w:tc>
      </w:tr>
      <w:tr w:rsidR="00424E58" w:rsidRPr="00424E58" w:rsidTr="00B120D0"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8" w:rsidRPr="00424E58" w:rsidRDefault="00424E58" w:rsidP="0042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24E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nezadovoljiva        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58" w:rsidRPr="00424E58" w:rsidRDefault="00424E58" w:rsidP="00424E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424E58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 0 točk</w:t>
            </w:r>
          </w:p>
        </w:tc>
      </w:tr>
    </w:tbl>
    <w:p w:rsidR="00424E58" w:rsidRDefault="00424E58" w:rsidP="00424E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24E58" w:rsidRPr="00E6483D" w:rsidRDefault="00424E58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Ekonomičnost:</w:t>
      </w:r>
    </w:p>
    <w:p w:rsidR="008C11F5" w:rsidRDefault="00424E5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Prireditev je izpeljana gospodarno samo z najnižjimi stroški glede </w:t>
      </w:r>
      <w:r w:rsidR="00780FB8">
        <w:rPr>
          <w:rFonts w:ascii="Times New Roman" w:hAnsi="Times New Roman" w:cs="Times New Roman"/>
          <w:sz w:val="24"/>
          <w:szCs w:val="24"/>
        </w:rPr>
        <w:t>na primerljive prireditve (največ možnih 10 točk)</w:t>
      </w:r>
    </w:p>
    <w:p w:rsidR="00780FB8" w:rsidRDefault="00780FB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0FB8" w:rsidTr="00780FB8"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nizki stroški</w:t>
            </w:r>
          </w:p>
        </w:tc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točk</w:t>
            </w:r>
          </w:p>
        </w:tc>
      </w:tr>
      <w:tr w:rsidR="00780FB8" w:rsidTr="00780FB8"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srednji stroški</w:t>
            </w:r>
          </w:p>
        </w:tc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točk</w:t>
            </w:r>
          </w:p>
        </w:tc>
      </w:tr>
      <w:tr w:rsidR="00780FB8" w:rsidTr="00780FB8"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visoki stroški</w:t>
            </w:r>
          </w:p>
        </w:tc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točk</w:t>
            </w:r>
          </w:p>
        </w:tc>
      </w:tr>
    </w:tbl>
    <w:p w:rsidR="00780FB8" w:rsidRDefault="00780FB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80FB8" w:rsidRPr="00E6483D" w:rsidRDefault="00780FB8" w:rsidP="00E6483D">
      <w:pPr>
        <w:pStyle w:val="Odstavekseznama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6483D">
        <w:rPr>
          <w:rFonts w:ascii="Times New Roman" w:hAnsi="Times New Roman" w:cs="Times New Roman"/>
          <w:sz w:val="24"/>
          <w:szCs w:val="24"/>
          <w:u w:val="single"/>
        </w:rPr>
        <w:t>Izvedljivost finančne konstrukcije:</w:t>
      </w:r>
      <w:r w:rsidR="00E03AA3" w:rsidRPr="00E648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03AA3" w:rsidRPr="00E03AA3" w:rsidRDefault="00E03AA3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3AA3">
        <w:rPr>
          <w:rFonts w:ascii="Times New Roman" w:hAnsi="Times New Roman" w:cs="Times New Roman"/>
          <w:sz w:val="24"/>
          <w:szCs w:val="24"/>
        </w:rPr>
        <w:t>Vrednost promoviranja ( največ možnih 20 točk)</w:t>
      </w:r>
    </w:p>
    <w:p w:rsidR="00780FB8" w:rsidRDefault="00780FB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780FB8" w:rsidTr="00780FB8"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vedno predvidena finančna konstrukcija</w:t>
            </w:r>
          </w:p>
        </w:tc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točk</w:t>
            </w:r>
          </w:p>
        </w:tc>
      </w:tr>
      <w:tr w:rsidR="00780FB8" w:rsidTr="00780FB8"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pričakovana finančna konstrukcija</w:t>
            </w:r>
          </w:p>
        </w:tc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točk</w:t>
            </w:r>
          </w:p>
        </w:tc>
      </w:tr>
      <w:tr w:rsidR="00780FB8" w:rsidTr="00780FB8"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brez finančne konstrukcije</w:t>
            </w:r>
          </w:p>
        </w:tc>
        <w:tc>
          <w:tcPr>
            <w:tcW w:w="4606" w:type="dxa"/>
          </w:tcPr>
          <w:p w:rsidR="00780FB8" w:rsidRDefault="00780FB8" w:rsidP="008C11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 točk</w:t>
            </w:r>
          </w:p>
        </w:tc>
      </w:tr>
    </w:tbl>
    <w:p w:rsidR="00780FB8" w:rsidRPr="008C11F5" w:rsidRDefault="00780FB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>Na osnovi števila dodeljenih točk in razpo</w:t>
      </w:r>
      <w:r w:rsidR="008718CC">
        <w:rPr>
          <w:rFonts w:ascii="Times New Roman" w:hAnsi="Times New Roman" w:cs="Times New Roman"/>
          <w:sz w:val="24"/>
          <w:szCs w:val="24"/>
        </w:rPr>
        <w:t xml:space="preserve">ložljivih sredstev 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komisija pripravi predlog </w:t>
      </w:r>
      <w:r w:rsidRPr="008C11F5">
        <w:rPr>
          <w:rFonts w:ascii="Times New Roman" w:hAnsi="Times New Roman" w:cs="Times New Roman"/>
          <w:sz w:val="24"/>
          <w:szCs w:val="24"/>
        </w:rPr>
        <w:t>o dodelitvi donatorskih sredstev po vrstnem redu glede na prejete to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čke. V kolikor kvota sredstev v </w:t>
      </w:r>
      <w:r w:rsidR="008718CC">
        <w:rPr>
          <w:rFonts w:ascii="Times New Roman" w:hAnsi="Times New Roman" w:cs="Times New Roman"/>
          <w:sz w:val="24"/>
          <w:szCs w:val="24"/>
        </w:rPr>
        <w:t>polletju</w:t>
      </w:r>
      <w:r w:rsidRPr="008C11F5">
        <w:rPr>
          <w:rFonts w:ascii="Times New Roman" w:hAnsi="Times New Roman" w:cs="Times New Roman"/>
          <w:sz w:val="24"/>
          <w:szCs w:val="24"/>
        </w:rPr>
        <w:t xml:space="preserve"> ne bi bila porabljena, se lahko vloge upoštevajo tudi pri priprav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i predloga za </w:t>
      </w:r>
      <w:r w:rsidR="008718CC">
        <w:rPr>
          <w:rFonts w:ascii="Times New Roman" w:hAnsi="Times New Roman" w:cs="Times New Roman"/>
          <w:sz w:val="24"/>
          <w:szCs w:val="24"/>
        </w:rPr>
        <w:t>naslednje polletje</w:t>
      </w:r>
      <w:r w:rsidRPr="008C11F5">
        <w:rPr>
          <w:rFonts w:ascii="Times New Roman" w:hAnsi="Times New Roman" w:cs="Times New Roman"/>
          <w:sz w:val="24"/>
          <w:szCs w:val="24"/>
        </w:rPr>
        <w:t>. V kolikor komisija oceni, da gre za izredno pomembno a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ktivnost, se </w:t>
      </w:r>
      <w:r w:rsidR="008C11F5" w:rsidRPr="008C11F5">
        <w:rPr>
          <w:rFonts w:ascii="Times New Roman" w:hAnsi="Times New Roman" w:cs="Times New Roman"/>
          <w:sz w:val="24"/>
          <w:szCs w:val="24"/>
        </w:rPr>
        <w:lastRenderedPageBreak/>
        <w:t xml:space="preserve">lahko višina kvote </w:t>
      </w:r>
      <w:r w:rsidRPr="008C11F5">
        <w:rPr>
          <w:rFonts w:ascii="Times New Roman" w:hAnsi="Times New Roman" w:cs="Times New Roman"/>
          <w:sz w:val="24"/>
          <w:szCs w:val="24"/>
        </w:rPr>
        <w:t>prekorači, komisija pa predlaga dodelitev donatorskih sredstev z dodatno utemel</w:t>
      </w:r>
      <w:r w:rsidR="008718CC">
        <w:rPr>
          <w:rFonts w:ascii="Times New Roman" w:hAnsi="Times New Roman" w:cs="Times New Roman"/>
          <w:sz w:val="24"/>
          <w:szCs w:val="24"/>
        </w:rPr>
        <w:t>jitvijo. V tem primeru se kvota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 </w:t>
      </w:r>
      <w:r w:rsidRPr="008C11F5">
        <w:rPr>
          <w:rFonts w:ascii="Times New Roman" w:hAnsi="Times New Roman" w:cs="Times New Roman"/>
          <w:sz w:val="24"/>
          <w:szCs w:val="24"/>
        </w:rPr>
        <w:t xml:space="preserve">za naslednje </w:t>
      </w:r>
      <w:r w:rsidR="008718CC">
        <w:rPr>
          <w:rFonts w:ascii="Times New Roman" w:hAnsi="Times New Roman" w:cs="Times New Roman"/>
          <w:sz w:val="24"/>
          <w:szCs w:val="24"/>
        </w:rPr>
        <w:t>polletje</w:t>
      </w:r>
      <w:r w:rsidR="00C50215">
        <w:rPr>
          <w:rFonts w:ascii="Times New Roman" w:hAnsi="Times New Roman" w:cs="Times New Roman"/>
          <w:sz w:val="24"/>
          <w:szCs w:val="24"/>
        </w:rPr>
        <w:t xml:space="preserve"> v tej višini ustrezno zniža</w:t>
      </w:r>
      <w:r w:rsidRPr="008C11F5">
        <w:rPr>
          <w:rFonts w:ascii="Times New Roman" w:hAnsi="Times New Roman" w:cs="Times New Roman"/>
          <w:sz w:val="24"/>
          <w:szCs w:val="24"/>
        </w:rPr>
        <w:t>.</w:t>
      </w:r>
    </w:p>
    <w:p w:rsidR="008C11F5" w:rsidRPr="008C11F5" w:rsidRDefault="008C11F5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8C11F5">
        <w:rPr>
          <w:rFonts w:ascii="Times New Roman" w:hAnsi="Times New Roman" w:cs="Times New Roman"/>
          <w:sz w:val="24"/>
          <w:szCs w:val="24"/>
          <w:u w:val="single"/>
        </w:rPr>
        <w:t>Odločitev</w:t>
      </w:r>
    </w:p>
    <w:p w:rsidR="00B04ED7" w:rsidRDefault="008665EA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podlagi predloga komisije o dodelitvi donatorskih sredstev odloči župan s sklepom. Odločitev župana je dokončana. </w:t>
      </w:r>
    </w:p>
    <w:p w:rsidR="00863089" w:rsidRDefault="008718CC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718CC">
        <w:rPr>
          <w:rFonts w:ascii="Times New Roman" w:hAnsi="Times New Roman" w:cs="Times New Roman"/>
          <w:sz w:val="24"/>
          <w:szCs w:val="24"/>
        </w:rPr>
        <w:t>Župan na podlagi sklepa iz tega člena s prejemniki sredstev sklene pogodbo, ki je podlaga za nakazilo dodeljenih pokroviteljskih oz. donatorskih sredstev na transakcijski račun prejemnika. Če prejemnik pokroviteljskih oz. donatorskih sredstev v roku 8 dni od prejema ne vrne podpisane pogodbe, se šteje, da je odstopil od pridobitve sredstev</w:t>
      </w:r>
      <w:r w:rsidR="00B04ED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4ED7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>Upravičeno porabo donatorskih sredstev prejemnik do</w:t>
      </w:r>
      <w:r w:rsidR="008C11F5" w:rsidRPr="008C11F5">
        <w:rPr>
          <w:rFonts w:ascii="Times New Roman" w:hAnsi="Times New Roman" w:cs="Times New Roman"/>
          <w:sz w:val="24"/>
          <w:szCs w:val="24"/>
        </w:rPr>
        <w:t>kaže</w:t>
      </w:r>
      <w:r w:rsidR="00E6483D">
        <w:rPr>
          <w:rFonts w:ascii="Times New Roman" w:hAnsi="Times New Roman" w:cs="Times New Roman"/>
          <w:sz w:val="24"/>
          <w:szCs w:val="24"/>
        </w:rPr>
        <w:t xml:space="preserve"> na zahtevku za izplačilo sredstev 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 </w:t>
      </w:r>
      <w:r w:rsidR="00E6483D">
        <w:rPr>
          <w:rFonts w:ascii="Times New Roman" w:hAnsi="Times New Roman" w:cs="Times New Roman"/>
          <w:sz w:val="24"/>
          <w:szCs w:val="24"/>
        </w:rPr>
        <w:t>v</w:t>
      </w:r>
      <w:r w:rsidR="004F1983">
        <w:rPr>
          <w:rFonts w:ascii="Times New Roman" w:hAnsi="Times New Roman" w:cs="Times New Roman"/>
          <w:sz w:val="24"/>
          <w:szCs w:val="24"/>
        </w:rPr>
        <w:t xml:space="preserve">  katerem </w:t>
      </w:r>
      <w:r w:rsidR="00E6483D">
        <w:rPr>
          <w:rFonts w:ascii="Times New Roman" w:hAnsi="Times New Roman" w:cs="Times New Roman"/>
          <w:sz w:val="24"/>
          <w:szCs w:val="24"/>
        </w:rPr>
        <w:t xml:space="preserve">poroča 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o </w:t>
      </w:r>
      <w:r w:rsidRPr="008C11F5">
        <w:rPr>
          <w:rFonts w:ascii="Times New Roman" w:hAnsi="Times New Roman" w:cs="Times New Roman"/>
          <w:sz w:val="24"/>
          <w:szCs w:val="24"/>
        </w:rPr>
        <w:t>porabi</w:t>
      </w:r>
      <w:r w:rsidR="00AA7157">
        <w:rPr>
          <w:rFonts w:ascii="Times New Roman" w:hAnsi="Times New Roman" w:cs="Times New Roman"/>
          <w:sz w:val="24"/>
          <w:szCs w:val="24"/>
        </w:rPr>
        <w:t xml:space="preserve"> prejetih donatorskih sredstev s prilogami</w:t>
      </w:r>
      <w:r w:rsidR="008718CC">
        <w:rPr>
          <w:rFonts w:ascii="Times New Roman" w:hAnsi="Times New Roman" w:cs="Times New Roman"/>
          <w:sz w:val="24"/>
          <w:szCs w:val="24"/>
        </w:rPr>
        <w:t xml:space="preserve"> kopij računov</w:t>
      </w:r>
      <w:r w:rsidR="00AA7157">
        <w:rPr>
          <w:rFonts w:ascii="Times New Roman" w:hAnsi="Times New Roman" w:cs="Times New Roman"/>
          <w:sz w:val="24"/>
          <w:szCs w:val="24"/>
        </w:rPr>
        <w:t xml:space="preserve"> za stroške celotne prireditve</w:t>
      </w:r>
      <w:r w:rsidR="008665EA">
        <w:rPr>
          <w:rFonts w:ascii="Times New Roman" w:hAnsi="Times New Roman" w:cs="Times New Roman"/>
          <w:sz w:val="24"/>
          <w:szCs w:val="24"/>
        </w:rPr>
        <w:t xml:space="preserve"> ali </w:t>
      </w:r>
      <w:r w:rsidR="00AA7157">
        <w:rPr>
          <w:rFonts w:ascii="Times New Roman" w:hAnsi="Times New Roman" w:cs="Times New Roman"/>
          <w:sz w:val="24"/>
          <w:szCs w:val="24"/>
        </w:rPr>
        <w:t>dejavnosti</w:t>
      </w:r>
      <w:r w:rsidR="008665EA">
        <w:rPr>
          <w:rFonts w:ascii="Times New Roman" w:hAnsi="Times New Roman" w:cs="Times New Roman"/>
          <w:sz w:val="24"/>
          <w:szCs w:val="24"/>
        </w:rPr>
        <w:t>.</w:t>
      </w:r>
      <w:r w:rsidR="00AA7157">
        <w:rPr>
          <w:rFonts w:ascii="Times New Roman" w:hAnsi="Times New Roman" w:cs="Times New Roman"/>
          <w:sz w:val="24"/>
          <w:szCs w:val="24"/>
        </w:rPr>
        <w:t xml:space="preserve"> Vlagatelj je</w:t>
      </w:r>
      <w:r w:rsidR="008665EA">
        <w:rPr>
          <w:rFonts w:ascii="Times New Roman" w:hAnsi="Times New Roman" w:cs="Times New Roman"/>
          <w:sz w:val="24"/>
          <w:szCs w:val="24"/>
        </w:rPr>
        <w:t xml:space="preserve"> </w:t>
      </w:r>
      <w:r w:rsidR="00E6483D">
        <w:rPr>
          <w:rFonts w:ascii="Times New Roman" w:hAnsi="Times New Roman" w:cs="Times New Roman"/>
          <w:sz w:val="24"/>
          <w:szCs w:val="24"/>
        </w:rPr>
        <w:t>zahtevek</w:t>
      </w:r>
      <w:r w:rsidR="00AA7157">
        <w:rPr>
          <w:rFonts w:ascii="Times New Roman" w:hAnsi="Times New Roman" w:cs="Times New Roman"/>
          <w:sz w:val="24"/>
          <w:szCs w:val="24"/>
        </w:rPr>
        <w:t xml:space="preserve"> </w:t>
      </w:r>
      <w:r w:rsidRPr="008C11F5">
        <w:rPr>
          <w:rFonts w:ascii="Times New Roman" w:hAnsi="Times New Roman" w:cs="Times New Roman"/>
          <w:sz w:val="24"/>
          <w:szCs w:val="24"/>
        </w:rPr>
        <w:t>dolžan dostaviti občini najpo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zneje 15 dni po </w:t>
      </w:r>
      <w:r w:rsidR="00E6483D">
        <w:rPr>
          <w:rFonts w:ascii="Times New Roman" w:hAnsi="Times New Roman" w:cs="Times New Roman"/>
          <w:sz w:val="24"/>
          <w:szCs w:val="24"/>
        </w:rPr>
        <w:t>izvedeni prireditvi</w:t>
      </w:r>
      <w:r w:rsidR="00AA7157">
        <w:rPr>
          <w:rFonts w:ascii="Times New Roman" w:hAnsi="Times New Roman" w:cs="Times New Roman"/>
          <w:sz w:val="24"/>
          <w:szCs w:val="24"/>
        </w:rPr>
        <w:t xml:space="preserve"> ali dejavnosti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 </w:t>
      </w:r>
      <w:r w:rsidRPr="008C11F5">
        <w:rPr>
          <w:rFonts w:ascii="Times New Roman" w:hAnsi="Times New Roman" w:cs="Times New Roman"/>
          <w:sz w:val="24"/>
          <w:szCs w:val="24"/>
        </w:rPr>
        <w:t>oz.</w:t>
      </w:r>
      <w:r w:rsidR="00E6483D">
        <w:rPr>
          <w:rFonts w:ascii="Times New Roman" w:hAnsi="Times New Roman" w:cs="Times New Roman"/>
          <w:sz w:val="24"/>
          <w:szCs w:val="24"/>
        </w:rPr>
        <w:t xml:space="preserve"> najkasneje do 10. novembra za tekoče leto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. V </w:t>
      </w:r>
      <w:r w:rsidR="00AA7157">
        <w:rPr>
          <w:rFonts w:ascii="Times New Roman" w:hAnsi="Times New Roman" w:cs="Times New Roman"/>
          <w:sz w:val="24"/>
          <w:szCs w:val="24"/>
        </w:rPr>
        <w:t>kolikor se ugotovi neupravičenost por</w:t>
      </w:r>
      <w:r w:rsidR="005A41F7">
        <w:rPr>
          <w:rFonts w:ascii="Times New Roman" w:hAnsi="Times New Roman" w:cs="Times New Roman"/>
          <w:sz w:val="24"/>
          <w:szCs w:val="24"/>
        </w:rPr>
        <w:t>abe pogodbene določenih sredstev</w:t>
      </w:r>
      <w:r w:rsidR="00AA7157">
        <w:rPr>
          <w:rFonts w:ascii="Times New Roman" w:hAnsi="Times New Roman" w:cs="Times New Roman"/>
          <w:sz w:val="24"/>
          <w:szCs w:val="24"/>
        </w:rPr>
        <w:t xml:space="preserve"> </w:t>
      </w:r>
      <w:r w:rsidR="00DD089F">
        <w:rPr>
          <w:rFonts w:ascii="Times New Roman" w:hAnsi="Times New Roman" w:cs="Times New Roman"/>
          <w:sz w:val="24"/>
          <w:szCs w:val="24"/>
        </w:rPr>
        <w:t>(razlika med prejetimi in upravičenimi priznanimi stroški), mora vlagatelj vrniti vsa sredstva v občinski proračun.</w:t>
      </w:r>
    </w:p>
    <w:p w:rsidR="00DD089F" w:rsidRDefault="00DD089F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5EA" w:rsidRPr="008C11F5" w:rsidRDefault="008665EA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11F5">
        <w:rPr>
          <w:rFonts w:ascii="Times New Roman" w:hAnsi="Times New Roman" w:cs="Times New Roman"/>
          <w:b/>
          <w:sz w:val="24"/>
          <w:szCs w:val="24"/>
        </w:rPr>
        <w:t>V. ROK IN NAČIN PRIJAVE</w:t>
      </w:r>
    </w:p>
    <w:p w:rsidR="008665EA" w:rsidRDefault="00DD089F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Vlagatelji</w:t>
      </w:r>
      <w:r w:rsidR="00633288" w:rsidRPr="008C11F5">
        <w:rPr>
          <w:rFonts w:ascii="Times New Roman" w:hAnsi="Times New Roman" w:cs="Times New Roman"/>
          <w:sz w:val="24"/>
          <w:szCs w:val="24"/>
        </w:rPr>
        <w:t xml:space="preserve"> lahko oddajo vlogo za dodelitev donatorskih</w:t>
      </w:r>
      <w:r>
        <w:rPr>
          <w:rFonts w:ascii="Times New Roman" w:hAnsi="Times New Roman" w:cs="Times New Roman"/>
          <w:sz w:val="24"/>
          <w:szCs w:val="24"/>
        </w:rPr>
        <w:t xml:space="preserve"> in pokroviteljskih</w:t>
      </w:r>
      <w:r w:rsidR="00633288" w:rsidRPr="008C11F5">
        <w:rPr>
          <w:rFonts w:ascii="Times New Roman" w:hAnsi="Times New Roman" w:cs="Times New Roman"/>
          <w:sz w:val="24"/>
          <w:szCs w:val="24"/>
        </w:rPr>
        <w:t xml:space="preserve"> sredstev kadark</w:t>
      </w:r>
      <w:r w:rsidR="008665EA">
        <w:rPr>
          <w:rFonts w:ascii="Times New Roman" w:hAnsi="Times New Roman" w:cs="Times New Roman"/>
          <w:sz w:val="24"/>
          <w:szCs w:val="24"/>
        </w:rPr>
        <w:t xml:space="preserve">oli v proračunskem letu, vendar </w:t>
      </w:r>
      <w:r w:rsidR="00633288" w:rsidRPr="008C11F5">
        <w:rPr>
          <w:rFonts w:ascii="Times New Roman" w:hAnsi="Times New Roman" w:cs="Times New Roman"/>
          <w:sz w:val="24"/>
          <w:szCs w:val="24"/>
        </w:rPr>
        <w:t>najkasneje do 10. novembra za tekoče proračunsko leto. Vloga se odda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 na priloženem obrazcu </w:t>
      </w:r>
      <w:r w:rsidR="008665EA">
        <w:rPr>
          <w:rFonts w:ascii="Times New Roman" w:hAnsi="Times New Roman" w:cs="Times New Roman"/>
          <w:sz w:val="24"/>
          <w:szCs w:val="24"/>
        </w:rPr>
        <w:t>z vsemi za</w:t>
      </w:r>
      <w:r>
        <w:rPr>
          <w:rFonts w:ascii="Times New Roman" w:hAnsi="Times New Roman" w:cs="Times New Roman"/>
          <w:sz w:val="24"/>
          <w:szCs w:val="24"/>
        </w:rPr>
        <w:t>htevanimi</w:t>
      </w:r>
      <w:r w:rsidR="008665EA">
        <w:rPr>
          <w:rFonts w:ascii="Times New Roman" w:hAnsi="Times New Roman" w:cs="Times New Roman"/>
          <w:sz w:val="24"/>
          <w:szCs w:val="24"/>
        </w:rPr>
        <w:t xml:space="preserve"> podatki in dokazili </w:t>
      </w:r>
      <w:r w:rsidR="00B04ED7">
        <w:rPr>
          <w:rFonts w:ascii="Times New Roman" w:hAnsi="Times New Roman" w:cs="Times New Roman"/>
          <w:sz w:val="24"/>
          <w:szCs w:val="24"/>
        </w:rPr>
        <w:t xml:space="preserve">ter </w:t>
      </w:r>
      <w:r>
        <w:rPr>
          <w:rFonts w:ascii="Times New Roman" w:hAnsi="Times New Roman" w:cs="Times New Roman"/>
          <w:sz w:val="24"/>
          <w:szCs w:val="24"/>
        </w:rPr>
        <w:t xml:space="preserve"> pravilno </w:t>
      </w:r>
      <w:r w:rsidR="00B04ED7">
        <w:rPr>
          <w:rFonts w:ascii="Times New Roman" w:hAnsi="Times New Roman" w:cs="Times New Roman"/>
          <w:sz w:val="24"/>
          <w:szCs w:val="24"/>
        </w:rPr>
        <w:t>opremo vloge.</w:t>
      </w:r>
    </w:p>
    <w:p w:rsidR="008C11F5" w:rsidRDefault="00DD089F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Vlagatelj lahko </w:t>
      </w:r>
      <w:r w:rsidR="00633288" w:rsidRPr="008C11F5">
        <w:rPr>
          <w:rFonts w:ascii="Times New Roman" w:hAnsi="Times New Roman" w:cs="Times New Roman"/>
          <w:sz w:val="24"/>
          <w:szCs w:val="24"/>
        </w:rPr>
        <w:t>vloži vlogo pisno po pošti na naslov</w:t>
      </w:r>
      <w:r>
        <w:rPr>
          <w:rFonts w:ascii="Times New Roman" w:hAnsi="Times New Roman" w:cs="Times New Roman"/>
          <w:sz w:val="24"/>
          <w:szCs w:val="24"/>
        </w:rPr>
        <w:t xml:space="preserve"> Občine Oplotnica, Goriška cesta 4, 2317 Oplotnica</w:t>
      </w:r>
      <w:r w:rsidR="008665EA">
        <w:rPr>
          <w:rFonts w:ascii="Times New Roman" w:hAnsi="Times New Roman" w:cs="Times New Roman"/>
          <w:sz w:val="24"/>
          <w:szCs w:val="24"/>
        </w:rPr>
        <w:t xml:space="preserve"> </w:t>
      </w:r>
      <w:r w:rsidR="008C11F5" w:rsidRPr="008C11F5">
        <w:rPr>
          <w:rFonts w:ascii="Times New Roman" w:hAnsi="Times New Roman" w:cs="Times New Roman"/>
          <w:sz w:val="24"/>
          <w:szCs w:val="24"/>
        </w:rPr>
        <w:t xml:space="preserve">ali z osebno oddajo </w:t>
      </w:r>
      <w:r w:rsidR="008665EA">
        <w:rPr>
          <w:rFonts w:ascii="Times New Roman" w:hAnsi="Times New Roman" w:cs="Times New Roman"/>
          <w:sz w:val="24"/>
          <w:szCs w:val="24"/>
        </w:rPr>
        <w:t xml:space="preserve">v </w:t>
      </w:r>
      <w:r w:rsidR="00B04ED7">
        <w:rPr>
          <w:rFonts w:ascii="Times New Roman" w:hAnsi="Times New Roman" w:cs="Times New Roman"/>
          <w:sz w:val="24"/>
          <w:szCs w:val="24"/>
        </w:rPr>
        <w:t>tajništvu Občine Oplotnica</w:t>
      </w:r>
      <w:r>
        <w:rPr>
          <w:rFonts w:ascii="Times New Roman" w:hAnsi="Times New Roman" w:cs="Times New Roman"/>
          <w:sz w:val="24"/>
          <w:szCs w:val="24"/>
        </w:rPr>
        <w:t>, v času uradnih ur.</w:t>
      </w:r>
    </w:p>
    <w:p w:rsidR="008B1A10" w:rsidRDefault="008B1A10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A10" w:rsidRDefault="008B1A10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B1A10" w:rsidRDefault="008B1A10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665EA" w:rsidRPr="008C11F5" w:rsidRDefault="008665EA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 xml:space="preserve">Številka: </w:t>
      </w:r>
      <w:r w:rsidR="00DD089F">
        <w:rPr>
          <w:rFonts w:ascii="Times New Roman" w:hAnsi="Times New Roman" w:cs="Times New Roman"/>
          <w:sz w:val="24"/>
          <w:szCs w:val="24"/>
        </w:rPr>
        <w:t>320-1/2017-1</w:t>
      </w:r>
    </w:p>
    <w:p w:rsidR="00633288" w:rsidRPr="008C11F5" w:rsidRDefault="00633288" w:rsidP="008C11F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11F5">
        <w:rPr>
          <w:rFonts w:ascii="Times New Roman" w:hAnsi="Times New Roman" w:cs="Times New Roman"/>
          <w:sz w:val="24"/>
          <w:szCs w:val="24"/>
        </w:rPr>
        <w:t xml:space="preserve">Datum: </w:t>
      </w:r>
      <w:r w:rsidR="0052472D">
        <w:rPr>
          <w:rFonts w:ascii="Times New Roman" w:hAnsi="Times New Roman" w:cs="Times New Roman"/>
          <w:sz w:val="24"/>
          <w:szCs w:val="24"/>
        </w:rPr>
        <w:t>23</w:t>
      </w:r>
      <w:r w:rsidR="008665EA">
        <w:rPr>
          <w:rFonts w:ascii="Times New Roman" w:hAnsi="Times New Roman" w:cs="Times New Roman"/>
          <w:sz w:val="24"/>
          <w:szCs w:val="24"/>
        </w:rPr>
        <w:t>. 5. 2017</w:t>
      </w:r>
    </w:p>
    <w:p w:rsidR="008C11F5" w:rsidRPr="008C11F5" w:rsidRDefault="00DD089F" w:rsidP="008C11F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Župan </w:t>
      </w:r>
      <w:r w:rsidR="008665EA">
        <w:rPr>
          <w:rFonts w:ascii="Times New Roman" w:hAnsi="Times New Roman" w:cs="Times New Roman"/>
          <w:sz w:val="24"/>
          <w:szCs w:val="24"/>
        </w:rPr>
        <w:t xml:space="preserve">Matjaž </w:t>
      </w:r>
      <w:proofErr w:type="spellStart"/>
      <w:r w:rsidR="008665EA">
        <w:rPr>
          <w:rFonts w:ascii="Times New Roman" w:hAnsi="Times New Roman" w:cs="Times New Roman"/>
          <w:sz w:val="24"/>
          <w:szCs w:val="24"/>
        </w:rPr>
        <w:t>Orter</w:t>
      </w:r>
      <w:proofErr w:type="spellEnd"/>
    </w:p>
    <w:p w:rsidR="008665EA" w:rsidRPr="008C11F5" w:rsidRDefault="008665EA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8665EA" w:rsidRPr="008C11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419" w:rsidRDefault="00A94419" w:rsidP="00A94419">
      <w:pPr>
        <w:spacing w:after="0" w:line="240" w:lineRule="auto"/>
      </w:pPr>
      <w:r>
        <w:separator/>
      </w:r>
    </w:p>
  </w:endnote>
  <w:endnote w:type="continuationSeparator" w:id="0">
    <w:p w:rsidR="00A94419" w:rsidRDefault="00A94419" w:rsidP="00A9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4419" w:rsidRPr="00863089" w:rsidRDefault="006F17B2">
    <w:pPr>
      <w:pStyle w:val="Noga"/>
      <w:rPr>
        <w:rFonts w:ascii="Times New Roman" w:hAnsi="Times New Roman" w:cs="Times New Roman"/>
        <w:sz w:val="20"/>
        <w:szCs w:val="20"/>
      </w:rPr>
    </w:pPr>
    <w:r w:rsidRPr="00863089">
      <w:rPr>
        <w:rFonts w:ascii="Times New Roman" w:hAnsi="Times New Roman" w:cs="Times New Roman"/>
        <w:sz w:val="20"/>
        <w:szCs w:val="20"/>
      </w:rPr>
      <w:fldChar w:fldCharType="begin"/>
    </w:r>
    <w:r w:rsidRPr="00863089">
      <w:rPr>
        <w:rFonts w:ascii="Times New Roman" w:hAnsi="Times New Roman" w:cs="Times New Roman"/>
        <w:sz w:val="20"/>
        <w:szCs w:val="20"/>
      </w:rPr>
      <w:instrText xml:space="preserve"> FILENAME  \p  \* MERGEFORMAT </w:instrText>
    </w:r>
    <w:r w:rsidRPr="00863089">
      <w:rPr>
        <w:rFonts w:ascii="Times New Roman" w:hAnsi="Times New Roman" w:cs="Times New Roman"/>
        <w:sz w:val="20"/>
        <w:szCs w:val="20"/>
      </w:rPr>
      <w:fldChar w:fldCharType="separate"/>
    </w:r>
    <w:r w:rsidR="00834F7F">
      <w:rPr>
        <w:rFonts w:ascii="Times New Roman" w:hAnsi="Times New Roman" w:cs="Times New Roman"/>
        <w:noProof/>
        <w:sz w:val="20"/>
        <w:szCs w:val="20"/>
      </w:rPr>
      <w:t>P:\razpisi\2017\Donatorstvo, sponzorstvo\JR za dod. pro. sr. pok. in don. 2017.docx</w:t>
    </w:r>
    <w:r w:rsidRPr="00863089">
      <w:rPr>
        <w:rFonts w:ascii="Times New Roman" w:hAnsi="Times New Roman" w:cs="Times New Roman"/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419" w:rsidRDefault="00A94419" w:rsidP="00A94419">
      <w:pPr>
        <w:spacing w:after="0" w:line="240" w:lineRule="auto"/>
      </w:pPr>
      <w:r>
        <w:separator/>
      </w:r>
    </w:p>
  </w:footnote>
  <w:footnote w:type="continuationSeparator" w:id="0">
    <w:p w:rsidR="00A94419" w:rsidRDefault="00A94419" w:rsidP="00A9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A4980"/>
    <w:multiLevelType w:val="hybridMultilevel"/>
    <w:tmpl w:val="D430B9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974BC6"/>
    <w:multiLevelType w:val="hybridMultilevel"/>
    <w:tmpl w:val="7C22808E"/>
    <w:lvl w:ilvl="0" w:tplc="B97A2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1D0078"/>
    <w:multiLevelType w:val="hybridMultilevel"/>
    <w:tmpl w:val="5080C89C"/>
    <w:lvl w:ilvl="0" w:tplc="B97A2E0E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303D3E65"/>
    <w:multiLevelType w:val="hybridMultilevel"/>
    <w:tmpl w:val="C40697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975941"/>
    <w:multiLevelType w:val="hybridMultilevel"/>
    <w:tmpl w:val="93AE1D1E"/>
    <w:lvl w:ilvl="0" w:tplc="B97A2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F6999"/>
    <w:multiLevelType w:val="hybridMultilevel"/>
    <w:tmpl w:val="520C221E"/>
    <w:lvl w:ilvl="0" w:tplc="C0C287E8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57216C"/>
    <w:multiLevelType w:val="hybridMultilevel"/>
    <w:tmpl w:val="8FB6B64A"/>
    <w:lvl w:ilvl="0" w:tplc="E1D8A67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D4A83"/>
    <w:multiLevelType w:val="hybridMultilevel"/>
    <w:tmpl w:val="77CAFD4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A2C2B"/>
    <w:multiLevelType w:val="hybridMultilevel"/>
    <w:tmpl w:val="165E920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628C4"/>
    <w:multiLevelType w:val="hybridMultilevel"/>
    <w:tmpl w:val="2FB45D9A"/>
    <w:lvl w:ilvl="0" w:tplc="B97A2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B64399"/>
    <w:multiLevelType w:val="hybridMultilevel"/>
    <w:tmpl w:val="342A94D2"/>
    <w:lvl w:ilvl="0" w:tplc="B97A2E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9"/>
  </w:num>
  <w:num w:numId="6">
    <w:abstractNumId w:val="10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288"/>
    <w:rsid w:val="000C652F"/>
    <w:rsid w:val="00240F03"/>
    <w:rsid w:val="00270AF5"/>
    <w:rsid w:val="00411D89"/>
    <w:rsid w:val="00424E58"/>
    <w:rsid w:val="004F1983"/>
    <w:rsid w:val="0052472D"/>
    <w:rsid w:val="005A41F7"/>
    <w:rsid w:val="00633288"/>
    <w:rsid w:val="0067047F"/>
    <w:rsid w:val="006F17B2"/>
    <w:rsid w:val="00780FB8"/>
    <w:rsid w:val="00834F7F"/>
    <w:rsid w:val="00863089"/>
    <w:rsid w:val="008665EA"/>
    <w:rsid w:val="008718CC"/>
    <w:rsid w:val="008B1A10"/>
    <w:rsid w:val="008C11F5"/>
    <w:rsid w:val="00A3639E"/>
    <w:rsid w:val="00A94419"/>
    <w:rsid w:val="00AA7157"/>
    <w:rsid w:val="00B04ED7"/>
    <w:rsid w:val="00BE5816"/>
    <w:rsid w:val="00C50215"/>
    <w:rsid w:val="00DD089F"/>
    <w:rsid w:val="00E03AA3"/>
    <w:rsid w:val="00E6483D"/>
    <w:rsid w:val="00F3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750CEA-EAE6-4154-AE64-8F59CC96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63328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9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94419"/>
  </w:style>
  <w:style w:type="paragraph" w:styleId="Noga">
    <w:name w:val="footer"/>
    <w:basedOn w:val="Navaden"/>
    <w:link w:val="NogaZnak"/>
    <w:uiPriority w:val="99"/>
    <w:unhideWhenUsed/>
    <w:rsid w:val="00A9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94419"/>
  </w:style>
  <w:style w:type="paragraph" w:customStyle="1" w:styleId="BodyText21">
    <w:name w:val="Body Text 21"/>
    <w:basedOn w:val="Navaden"/>
    <w:rsid w:val="00A3639E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table" w:styleId="Tabelamrea">
    <w:name w:val="Table Grid"/>
    <w:basedOn w:val="Navadnatabela"/>
    <w:uiPriority w:val="59"/>
    <w:rsid w:val="00A36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B7A1-CEE1-44D1-AD30-4DBD00A2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1464</Words>
  <Characters>8348</Characters>
  <Application>Microsoft Office Word</Application>
  <DocSecurity>4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Okolje_uporabnik</dc:creator>
  <cp:lastModifiedBy>Racunovodstvo 2</cp:lastModifiedBy>
  <cp:revision>2</cp:revision>
  <cp:lastPrinted>2017-05-22T10:59:00Z</cp:lastPrinted>
  <dcterms:created xsi:type="dcterms:W3CDTF">2017-05-23T06:51:00Z</dcterms:created>
  <dcterms:modified xsi:type="dcterms:W3CDTF">2017-05-23T06:51:00Z</dcterms:modified>
</cp:coreProperties>
</file>