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4E" w:rsidRPr="00BD54AD" w:rsidRDefault="0040470D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Občina Loški Potok, Hrib 17, 1318 Loški Potok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, na podlagi </w:t>
      </w:r>
      <w:r w:rsidR="005417F6" w:rsidRPr="00BD54AD">
        <w:rPr>
          <w:rFonts w:ascii="Times New Roman" w:hAnsi="Times New Roman" w:cs="Times New Roman"/>
          <w:sz w:val="24"/>
          <w:szCs w:val="24"/>
        </w:rPr>
        <w:t xml:space="preserve">Zakona o ukrepih za uravnoteženje javnih financ občin  </w:t>
      </w:r>
      <w:r w:rsidR="00B67BCE" w:rsidRPr="00BD54AD">
        <w:rPr>
          <w:rFonts w:ascii="Times New Roman" w:hAnsi="Times New Roman" w:cs="Times New Roman"/>
          <w:sz w:val="24"/>
          <w:szCs w:val="24"/>
        </w:rPr>
        <w:t>(</w:t>
      </w:r>
      <w:r w:rsidR="00B67BCE" w:rsidRPr="00BD54AD">
        <w:rPr>
          <w:rFonts w:ascii="Times New Roman" w:hAnsi="Times New Roman" w:cs="Times New Roman"/>
          <w:color w:val="333333"/>
          <w:sz w:val="24"/>
          <w:szCs w:val="24"/>
        </w:rPr>
        <w:t xml:space="preserve"> Urad. list</w:t>
      </w:r>
      <w:r w:rsidR="005417F6" w:rsidRPr="00BD54AD">
        <w:rPr>
          <w:rFonts w:ascii="Times New Roman" w:hAnsi="Times New Roman" w:cs="Times New Roman"/>
          <w:color w:val="333333"/>
          <w:sz w:val="24"/>
          <w:szCs w:val="24"/>
        </w:rPr>
        <w:t xml:space="preserve"> RS, št. 14/2015</w:t>
      </w:r>
      <w:r w:rsidR="00B67BCE" w:rsidRPr="00BD54AD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="005417F6" w:rsidRPr="00BD54AD">
        <w:rPr>
          <w:rFonts w:ascii="Times New Roman" w:hAnsi="Times New Roman" w:cs="Times New Roman"/>
          <w:color w:val="333333"/>
          <w:sz w:val="24"/>
          <w:szCs w:val="24"/>
        </w:rPr>
        <w:t>ZUUJFO) ter Zakon o spremembah in dopolnitvah Zakona o izvrševanju proračunov Republike Slovenije za leti 2014 in 2015 (ZIPRS1415-D</w:t>
      </w:r>
      <w:r w:rsidR="00B67BCE" w:rsidRPr="00BD54AD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="005417F6" w:rsidRPr="00BD54AD">
        <w:rPr>
          <w:rFonts w:ascii="Times New Roman" w:hAnsi="Times New Roman" w:cs="Times New Roman"/>
          <w:sz w:val="24"/>
          <w:szCs w:val="24"/>
        </w:rPr>
        <w:t xml:space="preserve">  </w:t>
      </w:r>
      <w:r w:rsidR="00055F4E" w:rsidRPr="00BD54AD">
        <w:rPr>
          <w:rFonts w:ascii="Times New Roman" w:hAnsi="Times New Roman" w:cs="Times New Roman"/>
          <w:sz w:val="24"/>
          <w:szCs w:val="24"/>
        </w:rPr>
        <w:t>Zakona o stvarnem premoženju države in samoupravnih lokalnih skupnosti</w:t>
      </w:r>
      <w:r w:rsidR="001E30FF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 (</w:t>
      </w:r>
      <w:r w:rsidR="001E30FF" w:rsidRPr="00BD54AD">
        <w:rPr>
          <w:rFonts w:ascii="Times New Roman" w:hAnsi="Times New Roman" w:cs="Times New Roman"/>
          <w:sz w:val="24"/>
          <w:szCs w:val="24"/>
        </w:rPr>
        <w:t xml:space="preserve">Uradni list RS, št. </w:t>
      </w:r>
      <w:hyperlink r:id="rId5" w:tgtFrame="_blank" w:tooltip="Zakon o stvarnem premoženju države in samoupravnih lokalnih skupnosti (ZSPDSLS)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86/10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tgtFrame="_blank" w:tooltip="Zakon o spremembah in dopolnitvah Zakona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75/12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tgtFrame="_blank" w:tooltip="Zakon o spremembah in dopolnitvah Zakona o državni uprav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47/13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ZDU-1G, </w:t>
      </w:r>
      <w:hyperlink r:id="rId8" w:tgtFrame="_blank" w:tooltip="Zakon o spremembah in dopolnitvah Zakona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50/14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tgtFrame="_blank" w:tooltip="Zakon o spremembah in dopolnitvah Zakona o državni uprav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90/14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ZDU-1I, </w:t>
      </w:r>
      <w:hyperlink r:id="rId10" w:tgtFrame="_blank" w:tooltip="Zakon o ukrepih za uravnoteženje javnih financ občin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14/15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ZUUJFO in </w:t>
      </w:r>
      <w:hyperlink r:id="rId11" w:tgtFrame="_blank" w:tooltip="Zakon o spremembi in dopolnitvi Zakona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76/15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55F4E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Uredbe o stvarnem premoženju države in samoupravnih lokalnih skupnosti (Uradni list RS, št. </w:t>
      </w:r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(Uradni list RS, št. </w:t>
      </w:r>
      <w:hyperlink r:id="rId12" w:tgtFrame="_blank" w:tooltip="Uredba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34/11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tgtFrame="_blank" w:tooltip="Uredba o spremembah in dopolnitvah Uredbe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42/12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tgtFrame="_blank" w:tooltip="Uredba o spremembah in dopolnitvah Uredbe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24/13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hyperlink r:id="rId15" w:tgtFrame="_blank" w:tooltip="Uredba o spremembah in dopolnitvah Uredbe o stvarnem premoženju države in samoupravnih lokalnih skupnosti" w:history="1">
        <w:r w:rsidR="001E30FF" w:rsidRPr="00BD54AD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10/14</w:t>
        </w:r>
      </w:hyperlink>
      <w:r w:rsidR="001E30FF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55F4E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55F4E" w:rsidRPr="00BD54AD">
        <w:rPr>
          <w:rFonts w:ascii="Times New Roman" w:hAnsi="Times New Roman" w:cs="Times New Roman"/>
          <w:sz w:val="24"/>
          <w:szCs w:val="24"/>
        </w:rPr>
        <w:t>ter Letnega načrta razpolaganja nepremičn</w:t>
      </w:r>
      <w:r w:rsidRPr="00BD54AD">
        <w:rPr>
          <w:rFonts w:ascii="Times New Roman" w:hAnsi="Times New Roman" w:cs="Times New Roman"/>
          <w:sz w:val="24"/>
          <w:szCs w:val="24"/>
        </w:rPr>
        <w:t xml:space="preserve">ega premoženja Občine Loški Potok </w:t>
      </w:r>
      <w:r w:rsidR="009D5A28">
        <w:rPr>
          <w:rFonts w:ascii="Times New Roman" w:hAnsi="Times New Roman" w:cs="Times New Roman"/>
          <w:sz w:val="24"/>
          <w:szCs w:val="24"/>
        </w:rPr>
        <w:t>za leto 2016</w:t>
      </w:r>
      <w:r w:rsidR="00055F4E" w:rsidRPr="00BD54AD">
        <w:rPr>
          <w:rFonts w:ascii="Times New Roman" w:hAnsi="Times New Roman" w:cs="Times New Roman"/>
          <w:sz w:val="24"/>
          <w:szCs w:val="24"/>
        </w:rPr>
        <w:t>, sprejetega z Odlo</w:t>
      </w:r>
      <w:r w:rsidRPr="00BD54AD">
        <w:rPr>
          <w:rFonts w:ascii="Times New Roman" w:hAnsi="Times New Roman" w:cs="Times New Roman"/>
          <w:sz w:val="24"/>
          <w:szCs w:val="24"/>
        </w:rPr>
        <w:t>kom o proračunu Občine Loški Potok</w:t>
      </w:r>
      <w:r w:rsidR="001E30FF" w:rsidRPr="00BD54AD">
        <w:rPr>
          <w:rFonts w:ascii="Times New Roman" w:hAnsi="Times New Roman" w:cs="Times New Roman"/>
          <w:sz w:val="24"/>
          <w:szCs w:val="24"/>
        </w:rPr>
        <w:t xml:space="preserve"> za leto 2016</w:t>
      </w:r>
      <w:r w:rsidR="00F75F0B" w:rsidRPr="00BD54AD">
        <w:rPr>
          <w:rFonts w:ascii="Times New Roman" w:hAnsi="Times New Roman" w:cs="Times New Roman"/>
          <w:sz w:val="24"/>
          <w:szCs w:val="24"/>
        </w:rPr>
        <w:t xml:space="preserve">, </w:t>
      </w:r>
      <w:r w:rsidR="00055F4E" w:rsidRPr="00BD54AD">
        <w:rPr>
          <w:rFonts w:ascii="Times New Roman" w:hAnsi="Times New Roman" w:cs="Times New Roman"/>
          <w:sz w:val="24"/>
          <w:szCs w:val="24"/>
        </w:rPr>
        <w:t>objavlja</w:t>
      </w:r>
    </w:p>
    <w:p w:rsidR="00055F4E" w:rsidRPr="009D5A28" w:rsidRDefault="00055F4E" w:rsidP="00F21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8">
        <w:rPr>
          <w:rFonts w:ascii="Times New Roman" w:hAnsi="Times New Roman" w:cs="Times New Roman"/>
          <w:b/>
          <w:sz w:val="24"/>
          <w:szCs w:val="24"/>
        </w:rPr>
        <w:t>javni razpis</w:t>
      </w:r>
      <w:r w:rsidR="00E66E42" w:rsidRPr="009D5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4BD" w:rsidRPr="009D5A28">
        <w:rPr>
          <w:rFonts w:ascii="Times New Roman" w:hAnsi="Times New Roman" w:cs="Times New Roman"/>
          <w:b/>
          <w:sz w:val="24"/>
          <w:szCs w:val="24"/>
        </w:rPr>
        <w:t>za prodajo nepremičnin</w:t>
      </w:r>
    </w:p>
    <w:p w:rsidR="00927BE5" w:rsidRDefault="00055F4E" w:rsidP="00F21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03">
        <w:rPr>
          <w:rFonts w:ascii="Times New Roman" w:hAnsi="Times New Roman" w:cs="Times New Roman"/>
          <w:b/>
          <w:sz w:val="24"/>
          <w:szCs w:val="24"/>
        </w:rPr>
        <w:t>z javnim zbiranjem ponudb</w:t>
      </w:r>
    </w:p>
    <w:p w:rsidR="00055594" w:rsidRPr="001D4803" w:rsidRDefault="00055594" w:rsidP="00AC54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BE5" w:rsidRPr="001D4803" w:rsidRDefault="00055F4E" w:rsidP="00AC54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803">
        <w:rPr>
          <w:rFonts w:ascii="Times New Roman" w:hAnsi="Times New Roman" w:cs="Times New Roman"/>
          <w:b/>
          <w:sz w:val="24"/>
          <w:szCs w:val="24"/>
        </w:rPr>
        <w:t xml:space="preserve">I. Prodajalec: </w:t>
      </w:r>
      <w:r w:rsidR="0040470D" w:rsidRPr="001D4803">
        <w:rPr>
          <w:rFonts w:ascii="Times New Roman" w:hAnsi="Times New Roman" w:cs="Times New Roman"/>
          <w:b/>
          <w:sz w:val="24"/>
          <w:szCs w:val="24"/>
        </w:rPr>
        <w:t>Občina Loški Potok, Hrib 17, 1318 Loški Potok</w:t>
      </w:r>
    </w:p>
    <w:p w:rsidR="00927BE5" w:rsidRDefault="008434BD" w:rsidP="00AC541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1D480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2103D">
        <w:rPr>
          <w:rFonts w:ascii="Times New Roman" w:hAnsi="Times New Roman" w:cs="Times New Roman"/>
          <w:b/>
          <w:sz w:val="24"/>
          <w:szCs w:val="24"/>
        </w:rPr>
        <w:t>Predmet prodaje so nepremičnine</w:t>
      </w:r>
      <w:r w:rsidR="00B8769C" w:rsidRPr="001D48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 w:rsidR="00E66E42" w:rsidRPr="001D48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B06FC6" w:rsidRPr="001D48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KMETIJSKA ZEMLJIŠČA IN GOZD  </w:t>
      </w:r>
      <w:r w:rsidR="00E66E42" w:rsidRPr="001D48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 k.o. 1641 Hrib -  Ribniški</w:t>
      </w:r>
      <w:r w:rsidR="00B06FC6" w:rsidRPr="001D480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927BE5" w:rsidRPr="001D4803" w:rsidRDefault="00927BE5" w:rsidP="00AC541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pPr w:leftFromText="141" w:rightFromText="141" w:vertAnchor="text" w:tblpX="779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206"/>
        <w:gridCol w:w="1275"/>
        <w:gridCol w:w="993"/>
        <w:gridCol w:w="1275"/>
        <w:gridCol w:w="1701"/>
      </w:tblGrid>
      <w:tr w:rsidR="001E30FF" w:rsidRPr="00BD54AD" w:rsidTr="00E66E42">
        <w:trPr>
          <w:trHeight w:val="421"/>
        </w:trPr>
        <w:tc>
          <w:tcPr>
            <w:tcW w:w="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20" w:color="auto" w:fill="FFFFFF"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Parcela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Kultura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bon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Izmera</w:t>
            </w:r>
            <w:proofErr w:type="spellEnd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m</w:t>
            </w: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sl-SI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Delež</w:t>
            </w:r>
            <w:proofErr w:type="spellEnd"/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  <w:t>KZ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sl-SI"/>
              </w:rPr>
            </w:pP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Njiva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njiva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2910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1909/33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Njiva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1956/40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njiva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njiva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1/144</w:t>
            </w:r>
          </w:p>
        </w:tc>
      </w:tr>
      <w:tr w:rsidR="001E30FF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Travnik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E30FF" w:rsidRPr="00BD54AD" w:rsidRDefault="001E30FF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1E30FF" w:rsidRPr="00BD54AD" w:rsidRDefault="00714A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1/144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FD420C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FD420C" w:rsidRPr="00BD54AD" w:rsidTr="00E66E42">
        <w:trPr>
          <w:trHeight w:val="421"/>
        </w:trPr>
        <w:tc>
          <w:tcPr>
            <w:tcW w:w="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20" w:color="auto" w:fill="FFFFFF"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Parcela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Kultura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odd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20" w:color="auto" w:fill="FFFFFF"/>
            <w:hideMark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Izmera</w:t>
            </w:r>
            <w:proofErr w:type="spellEnd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m</w:t>
            </w: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sl-SI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hideMark/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Delež</w:t>
            </w:r>
            <w:proofErr w:type="spellEnd"/>
          </w:p>
        </w:tc>
      </w:tr>
      <w:tr w:rsidR="00FD420C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D420C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val="en-US" w:eastAsia="sl-SI"/>
              </w:rPr>
              <w:t>GOZD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992/77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FD420C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16852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  <w:r w:rsidR="00FD420C"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44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1781/0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2083/23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2083/25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1798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2121/0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39725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  <w:tr w:rsidR="000E0702" w:rsidRPr="00BD54AD" w:rsidTr="00E66E42">
        <w:trPr>
          <w:trHeight w:val="320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2122/0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E0702" w:rsidRPr="00BD54AD" w:rsidRDefault="00E172F6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5596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E0702" w:rsidRPr="00BD54AD" w:rsidRDefault="000E0702" w:rsidP="00AC5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</w:t>
            </w:r>
          </w:p>
        </w:tc>
      </w:tr>
    </w:tbl>
    <w:p w:rsidR="00E66E42" w:rsidRPr="00BD54AD" w:rsidRDefault="00E66E42" w:rsidP="00AC5418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D54AD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In nepremičnina v k.</w:t>
      </w:r>
      <w:r w:rsidR="00F2103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D54AD">
        <w:rPr>
          <w:rFonts w:ascii="Times New Roman" w:eastAsia="Times New Roman" w:hAnsi="Times New Roman" w:cs="Times New Roman"/>
          <w:sz w:val="24"/>
          <w:szCs w:val="24"/>
          <w:lang w:eastAsia="sl-SI"/>
        </w:rPr>
        <w:t>o. 1642 Travnik</w:t>
      </w:r>
    </w:p>
    <w:p w:rsidR="00E66E42" w:rsidRPr="00BD54AD" w:rsidRDefault="00E66E42" w:rsidP="00AC5418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66E42" w:rsidRPr="00BD54AD" w:rsidRDefault="00E66E42" w:rsidP="00AC5418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1275"/>
        <w:gridCol w:w="993"/>
        <w:gridCol w:w="1275"/>
        <w:gridCol w:w="1701"/>
      </w:tblGrid>
      <w:tr w:rsidR="00E66E42" w:rsidRPr="00BD54AD" w:rsidTr="000A30C5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pct20" w:color="auto" w:fill="FFFFFF"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pct20" w:color="auto" w:fill="FFFFFF"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Parcela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pct20" w:color="auto" w:fill="FFFFFF"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Kultura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pct20" w:color="auto" w:fill="FFFFFF"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odd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pct20" w:color="auto" w:fill="FFFFFF"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Izmera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20" w:color="auto" w:fill="FFFFFF"/>
            <w:hideMark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Delež</w:t>
            </w:r>
            <w:proofErr w:type="spellEnd"/>
          </w:p>
        </w:tc>
      </w:tr>
      <w:tr w:rsidR="00E66E42" w:rsidRPr="00BD54AD" w:rsidTr="000A30C5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E66E42" w:rsidRPr="00BD54AD" w:rsidTr="000A30C5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16635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val="en-US" w:eastAsia="sl-SI"/>
              </w:rPr>
              <w:t>GOZD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E66E42" w:rsidRPr="00BD54AD" w:rsidTr="000A30C5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</w:p>
        </w:tc>
      </w:tr>
      <w:tr w:rsidR="00E66E42" w:rsidRPr="00BD54AD" w:rsidTr="000A30C5">
        <w:trPr>
          <w:trHeight w:val="320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3462/0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proofErr w:type="spellStart"/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gozd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BD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10071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66E42" w:rsidRPr="00BD54AD" w:rsidRDefault="00E66E42" w:rsidP="00AC5418">
            <w:pPr>
              <w:keepNext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</w:pPr>
            <w:r w:rsidRPr="00BD54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sl-SI"/>
              </w:rPr>
              <w:t>1/144</w:t>
            </w:r>
          </w:p>
        </w:tc>
      </w:tr>
    </w:tbl>
    <w:p w:rsidR="00714A0C" w:rsidRPr="00BD54AD" w:rsidRDefault="00714A0C" w:rsidP="00AC5418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14A0C" w:rsidRPr="00BD54AD" w:rsidRDefault="00714A0C" w:rsidP="00AC5418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B74AD" w:rsidRPr="00BD54AD" w:rsidRDefault="00055F4E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Planska namembnost navedenega zemljišča</w:t>
      </w:r>
      <w:r w:rsidR="00B06FC6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kmetijska zemljišča in gozd ) </w:t>
      </w:r>
      <w:r w:rsidR="00D40D6B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je navedena in razvidna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potrdil</w:t>
      </w:r>
      <w:r w:rsidR="00B06FC6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namembnosti</w:t>
      </w:r>
      <w:r w:rsidR="00B06FC6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D40D6B" w:rsidRPr="00BD54A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D40D6B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št. 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3502-0383/2016, z dne 9. 6. 2016,</w:t>
      </w:r>
    </w:p>
    <w:p w:rsidR="00CB74AD" w:rsidRPr="00BD54AD" w:rsidRDefault="00B06FC6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1D4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št. 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D6B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502</w:t>
      </w:r>
      <w:r w:rsidR="00055F4E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40D6B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3096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55F4E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2016, z dne 9. 6. 2016,</w:t>
      </w:r>
    </w:p>
    <w:p w:rsidR="00CB74AD" w:rsidRPr="00BD54AD" w:rsidRDefault="00B06FC6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1D4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št. 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3502-0385/2016, z dne 9. 6. 2016,</w:t>
      </w:r>
    </w:p>
    <w:p w:rsidR="00BA3B16" w:rsidRPr="00BD54AD" w:rsidRDefault="00055F4E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4AD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ki so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vpogled pri občinskem organu.</w:t>
      </w:r>
    </w:p>
    <w:p w:rsidR="00055F4E" w:rsidRPr="00BD54AD" w:rsidRDefault="008434BD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Nepremičnine</w:t>
      </w:r>
      <w:r w:rsidR="00A22357" w:rsidRPr="00BD54AD">
        <w:rPr>
          <w:rFonts w:ascii="Times New Roman" w:hAnsi="Times New Roman" w:cs="Times New Roman"/>
          <w:sz w:val="24"/>
          <w:szCs w:val="24"/>
        </w:rPr>
        <w:t xml:space="preserve"> se prodajajo</w:t>
      </w:r>
      <w:r w:rsidR="0040470D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B06FC6" w:rsidRPr="00BD54AD">
        <w:rPr>
          <w:rFonts w:ascii="Times New Roman" w:hAnsi="Times New Roman" w:cs="Times New Roman"/>
          <w:sz w:val="24"/>
          <w:szCs w:val="24"/>
        </w:rPr>
        <w:t xml:space="preserve"> v kompletu ( celota )</w:t>
      </w:r>
      <w:r w:rsidR="00475AC2" w:rsidRPr="00BD5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357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Izhodiščna cena:</w:t>
      </w:r>
      <w:r w:rsidR="00877842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D67D1F">
        <w:rPr>
          <w:rFonts w:ascii="Times New Roman" w:hAnsi="Times New Roman" w:cs="Times New Roman"/>
          <w:b/>
          <w:sz w:val="24"/>
          <w:szCs w:val="24"/>
        </w:rPr>
        <w:t>27.5</w:t>
      </w:r>
      <w:r w:rsidR="00475AC2" w:rsidRPr="00BD54AD">
        <w:rPr>
          <w:rFonts w:ascii="Times New Roman" w:hAnsi="Times New Roman" w:cs="Times New Roman"/>
          <w:b/>
          <w:sz w:val="24"/>
          <w:szCs w:val="24"/>
        </w:rPr>
        <w:t>00,00 EUR</w:t>
      </w:r>
      <w:r w:rsidR="00475AC2" w:rsidRPr="00BD5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349" w:rsidRPr="00BD54AD" w:rsidRDefault="00475AC2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 xml:space="preserve">( na osnovi Cenilnega zapisnika sodnega cenilca za kmetijska zemljišča Janeza Rusa, </w:t>
      </w:r>
      <w:proofErr w:type="spellStart"/>
      <w:r w:rsidRPr="00BD54A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BD54AD">
        <w:rPr>
          <w:rFonts w:ascii="Times New Roman" w:hAnsi="Times New Roman" w:cs="Times New Roman"/>
          <w:sz w:val="24"/>
          <w:szCs w:val="24"/>
        </w:rPr>
        <w:t>. ing. zoot. Dolenji lazi 69, 1310 Ribnica in na osnovi</w:t>
      </w:r>
      <w:r w:rsidR="006A7A8F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Pr="00BD54AD">
        <w:rPr>
          <w:rFonts w:ascii="Times New Roman" w:hAnsi="Times New Roman" w:cs="Times New Roman"/>
          <w:sz w:val="24"/>
          <w:szCs w:val="24"/>
        </w:rPr>
        <w:t xml:space="preserve"> Cenitvenega poročila stalnega sodnega izvedenca in cenilca za gozdarstvo</w:t>
      </w:r>
      <w:r w:rsidR="006A7A8F" w:rsidRPr="00BD54AD">
        <w:rPr>
          <w:rFonts w:ascii="Times New Roman" w:hAnsi="Times New Roman" w:cs="Times New Roman"/>
          <w:sz w:val="24"/>
          <w:szCs w:val="24"/>
        </w:rPr>
        <w:t xml:space="preserve"> Mirana Škulja univ. dipl. ing. </w:t>
      </w:r>
      <w:proofErr w:type="spellStart"/>
      <w:r w:rsidR="006A7A8F" w:rsidRPr="00BD54AD">
        <w:rPr>
          <w:rFonts w:ascii="Times New Roman" w:hAnsi="Times New Roman" w:cs="Times New Roman"/>
          <w:sz w:val="24"/>
          <w:szCs w:val="24"/>
        </w:rPr>
        <w:t>guzd</w:t>
      </w:r>
      <w:proofErr w:type="spellEnd"/>
      <w:r w:rsidR="006A7A8F" w:rsidRPr="00BD54AD">
        <w:rPr>
          <w:rFonts w:ascii="Times New Roman" w:hAnsi="Times New Roman" w:cs="Times New Roman"/>
          <w:sz w:val="24"/>
          <w:szCs w:val="24"/>
        </w:rPr>
        <w:t xml:space="preserve">., </w:t>
      </w:r>
      <w:r w:rsidRPr="00BD54AD">
        <w:rPr>
          <w:rFonts w:ascii="Times New Roman" w:hAnsi="Times New Roman" w:cs="Times New Roman"/>
          <w:sz w:val="24"/>
          <w:szCs w:val="24"/>
        </w:rPr>
        <w:t xml:space="preserve"> Cesta na stadion 22,</w:t>
      </w:r>
      <w:r w:rsidR="006A7A8F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Pr="00BD54AD">
        <w:rPr>
          <w:rFonts w:ascii="Times New Roman" w:hAnsi="Times New Roman" w:cs="Times New Roman"/>
          <w:sz w:val="24"/>
          <w:szCs w:val="24"/>
        </w:rPr>
        <w:t>1330 Kočevje. V izhodiščno ceno so všteti tudi stroški cenitve zemljišč. )</w:t>
      </w:r>
    </w:p>
    <w:p w:rsidR="00666FF2" w:rsidRPr="00BD54AD" w:rsidRDefault="00666FF2" w:rsidP="00AC5418">
      <w:pPr>
        <w:tabs>
          <w:tab w:val="right" w:pos="3828"/>
          <w:tab w:val="right" w:pos="822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C5CD8" w:rsidRPr="00BD54AD" w:rsidRDefault="00AC7CCE" w:rsidP="00AC541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Izhodiščne </w:t>
      </w:r>
      <w:r w:rsidR="000C5CD8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cene ne  </w:t>
      </w:r>
      <w:r w:rsidR="00E563A2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vključuje</w:t>
      </w:r>
      <w:r w:rsidR="000C5CD8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 </w:t>
      </w:r>
      <w:r w:rsidR="00475AC2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C5CD8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2% </w:t>
      </w:r>
      <w:r w:rsidR="00475AC2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davka </w:t>
      </w:r>
      <w:r w:rsidR="000C5CD8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promet z nepremičnino.</w:t>
      </w:r>
      <w:r w:rsidR="00E563A2" w:rsidRPr="00B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166359">
        <w:rPr>
          <w:rFonts w:ascii="Times New Roman" w:hAnsi="Times New Roman" w:cs="Times New Roman"/>
          <w:b/>
          <w:sz w:val="24"/>
          <w:szCs w:val="24"/>
        </w:rPr>
        <w:t>III. Pogoji prodaje</w:t>
      </w:r>
      <w:r w:rsidRPr="00BD54AD">
        <w:rPr>
          <w:rFonts w:ascii="Times New Roman" w:hAnsi="Times New Roman" w:cs="Times New Roman"/>
          <w:sz w:val="24"/>
          <w:szCs w:val="24"/>
        </w:rPr>
        <w:t>:</w:t>
      </w:r>
    </w:p>
    <w:p w:rsidR="00055F4E" w:rsidRPr="00BD54AD" w:rsidRDefault="00AC7CC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1. Nepremičnine se prodajajo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 za najmanj izhodiščno ceno.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2.</w:t>
      </w:r>
      <w:r w:rsidR="00E563A2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306A3F" w:rsidRPr="00BD54AD">
        <w:rPr>
          <w:rFonts w:ascii="Times New Roman" w:hAnsi="Times New Roman" w:cs="Times New Roman"/>
          <w:sz w:val="24"/>
          <w:szCs w:val="24"/>
        </w:rPr>
        <w:t>St</w:t>
      </w:r>
      <w:r w:rsidR="007853B4" w:rsidRPr="00BD54AD">
        <w:rPr>
          <w:rFonts w:ascii="Times New Roman" w:hAnsi="Times New Roman" w:cs="Times New Roman"/>
          <w:sz w:val="24"/>
          <w:szCs w:val="24"/>
        </w:rPr>
        <w:t xml:space="preserve">roške sestave pogodbe in davek na promet nepremičnin plača prodajalec </w:t>
      </w:r>
      <w:r w:rsidRPr="00BD54AD">
        <w:rPr>
          <w:rFonts w:ascii="Times New Roman" w:hAnsi="Times New Roman" w:cs="Times New Roman"/>
          <w:sz w:val="24"/>
          <w:szCs w:val="24"/>
        </w:rPr>
        <w:t>, stroške overitve pogodbe pri notarju ter stroške vpisa</w:t>
      </w:r>
      <w:r w:rsidR="007853B4" w:rsidRPr="00BD54AD">
        <w:rPr>
          <w:rFonts w:ascii="Times New Roman" w:hAnsi="Times New Roman" w:cs="Times New Roman"/>
          <w:sz w:val="24"/>
          <w:szCs w:val="24"/>
        </w:rPr>
        <w:t xml:space="preserve"> nepremičnin v zemljiško knjigo pa </w:t>
      </w:r>
      <w:r w:rsidRPr="00BD54AD">
        <w:rPr>
          <w:rFonts w:ascii="Times New Roman" w:hAnsi="Times New Roman" w:cs="Times New Roman"/>
          <w:sz w:val="24"/>
          <w:szCs w:val="24"/>
        </w:rPr>
        <w:t xml:space="preserve"> plača kupec.</w:t>
      </w:r>
    </w:p>
    <w:p w:rsidR="00C81FF2" w:rsidRPr="00BD54AD" w:rsidRDefault="00AC7CC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3. Nepremičnine se prodajajo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 po sistemu »videno-kupljeno«.</w:t>
      </w:r>
    </w:p>
    <w:p w:rsidR="00C81FF2" w:rsidRPr="00BD54AD" w:rsidRDefault="00C81FF2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4. Na nepremičninah, ki se prodajajo, obstaja predkupna pravica v skladu s 23. členom Zakona o kmetijskih zemljiščih. Občina Loški Potok  se obvezuje, da bo v roku 15 dni po komisijskem odpiranju ponudb v skladu z določili Zakona o kmetijskih zemljiščih objavil</w:t>
      </w:r>
      <w:r w:rsidR="00D67D1F">
        <w:rPr>
          <w:rFonts w:ascii="Times New Roman" w:hAnsi="Times New Roman" w:cs="Times New Roman"/>
          <w:sz w:val="24"/>
          <w:szCs w:val="24"/>
        </w:rPr>
        <w:t>a</w:t>
      </w:r>
      <w:r w:rsidRPr="00BD54AD">
        <w:rPr>
          <w:rFonts w:ascii="Times New Roman" w:hAnsi="Times New Roman" w:cs="Times New Roman"/>
          <w:sz w:val="24"/>
          <w:szCs w:val="24"/>
        </w:rPr>
        <w:t xml:space="preserve"> ponudbo za prodajo zgoraj navedenih nepremičnin na pristojni upravni enoti po najvišji ponujeni ceni. Ponudnik najvišje cene je po izvršenem komisijskem odpiranju zavezan podati pisno izjavo o sprejemu ponudbe v skladu z določili 21. člena Zakona o kmetijskih zemljiščih. V primeru, da bo ponudnik najvišje cene izbran kot predkupni upravičenec v skladu s 23. členom Zakona o kmetijskih zemljiščih, se bo vplačani znesek varščine vštel v kupnino za </w:t>
      </w:r>
      <w:r w:rsidR="00D67D1F">
        <w:rPr>
          <w:rFonts w:ascii="Times New Roman" w:hAnsi="Times New Roman" w:cs="Times New Roman"/>
          <w:sz w:val="24"/>
          <w:szCs w:val="24"/>
        </w:rPr>
        <w:lastRenderedPageBreak/>
        <w:t>zemljišče. V</w:t>
      </w:r>
      <w:r w:rsidRPr="00BD54AD">
        <w:rPr>
          <w:rFonts w:ascii="Times New Roman" w:hAnsi="Times New Roman" w:cs="Times New Roman"/>
          <w:sz w:val="24"/>
          <w:szCs w:val="24"/>
        </w:rPr>
        <w:t xml:space="preserve"> primeru neplačila kupnine se znesek varščine ne bo vračal ponudniku najvišje cene. V primeru, da ponudnik najvišje cene ne bo izbran kot predkupni upravičenec v skladu s 23. členom Zakona o kmetijskih zemljiščih, mu bo vplačani znesek varščine brezobrestno vrnjen v pet</w:t>
      </w:r>
      <w:r w:rsidR="00D67D1F">
        <w:rPr>
          <w:rFonts w:ascii="Times New Roman" w:hAnsi="Times New Roman" w:cs="Times New Roman"/>
          <w:sz w:val="24"/>
          <w:szCs w:val="24"/>
        </w:rPr>
        <w:t>ih dneh po prejetem odločbe</w:t>
      </w:r>
      <w:r w:rsidRPr="00BD54AD">
        <w:rPr>
          <w:rFonts w:ascii="Times New Roman" w:hAnsi="Times New Roman" w:cs="Times New Roman"/>
          <w:sz w:val="24"/>
          <w:szCs w:val="24"/>
        </w:rPr>
        <w:t xml:space="preserve"> upravne enote</w:t>
      </w:r>
      <w:r w:rsidR="00D67D1F">
        <w:rPr>
          <w:rFonts w:ascii="Times New Roman" w:hAnsi="Times New Roman" w:cs="Times New Roman"/>
          <w:sz w:val="24"/>
          <w:szCs w:val="24"/>
        </w:rPr>
        <w:t xml:space="preserve"> o odobritvi pravnega posla</w:t>
      </w:r>
      <w:r w:rsidRPr="00BD54AD">
        <w:rPr>
          <w:rFonts w:ascii="Times New Roman" w:hAnsi="Times New Roman" w:cs="Times New Roman"/>
          <w:sz w:val="24"/>
          <w:szCs w:val="24"/>
        </w:rPr>
        <w:t>. V primeru, da ponudnik najvišje cene ne bo sprejel ponudbe za prodajo zemljišč, objavljene na pristojni upravni enoti se mu vplača</w:t>
      </w:r>
      <w:r w:rsidR="00D04733" w:rsidRPr="00BD54AD">
        <w:rPr>
          <w:rFonts w:ascii="Times New Roman" w:hAnsi="Times New Roman" w:cs="Times New Roman"/>
          <w:sz w:val="24"/>
          <w:szCs w:val="24"/>
        </w:rPr>
        <w:t>ni znesek varščine ne bo vrnil.</w:t>
      </w:r>
    </w:p>
    <w:p w:rsidR="00055F4E" w:rsidRPr="002F50A6" w:rsidRDefault="00D04733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55F4E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Kupec mora skleniti </w:t>
      </w:r>
      <w:r w:rsidR="00C81FF2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pogodbo v 15 dneh </w:t>
      </w:r>
      <w:r w:rsidR="00D67D1F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r w:rsidR="00390B38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D1F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z  pravnomočno</w:t>
      </w:r>
      <w:r w:rsidR="00CF1BC0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D1F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odločbo o odobrenem   pravnem</w:t>
      </w:r>
      <w:r w:rsid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</w:t>
      </w:r>
      <w:r w:rsidR="00D67D1F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90B38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 Upravni enoti Ribnica.</w:t>
      </w:r>
      <w:r w:rsidR="00055F4E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Kolikor izbrani ponudnik ne podpiše prodajne pogodbe v tem roku, zapade vplača</w:t>
      </w:r>
      <w:r w:rsidR="002F50A6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na varščina v korist prodajalca. K</w:t>
      </w:r>
      <w:r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upnino</w:t>
      </w:r>
      <w:r w:rsidR="002F50A6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potrebno vplačati </w:t>
      </w:r>
      <w:r w:rsidR="00166359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>v roku 15</w:t>
      </w:r>
      <w:r w:rsidR="00055F4E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po</w:t>
      </w:r>
      <w:r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overitvi pogodbe s strani FURS-a o plačilu davščin.</w:t>
      </w:r>
      <w:r w:rsidR="00055F4E" w:rsidRPr="002F5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Plačilo kupnine v navedenem roku, je bistvena sestavina prodajne pogodbe.</w:t>
      </w:r>
    </w:p>
    <w:p w:rsidR="00055F4E" w:rsidRPr="00BD54AD" w:rsidRDefault="00982866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5F4E" w:rsidRPr="00BD54AD">
        <w:rPr>
          <w:rFonts w:ascii="Times New Roman" w:hAnsi="Times New Roman" w:cs="Times New Roman"/>
          <w:sz w:val="24"/>
          <w:szCs w:val="24"/>
        </w:rPr>
        <w:t>. Kolikor bo med prejetimi ponudbami več najugodnejših ponudnikov, bo Komisija za vodenje in nadzor postopka razpolaganja s stvar</w:t>
      </w:r>
      <w:r w:rsidR="00623DFD" w:rsidRPr="00BD54AD">
        <w:rPr>
          <w:rFonts w:ascii="Times New Roman" w:hAnsi="Times New Roman" w:cs="Times New Roman"/>
          <w:sz w:val="24"/>
          <w:szCs w:val="24"/>
        </w:rPr>
        <w:t>nim premoženjem Občine Loški Potok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055F4E"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>(v nadaljevanju: Komisija), pozvala vse najugodnejše ponudnike k oddaji nove ponudbe.</w:t>
      </w:r>
    </w:p>
    <w:p w:rsidR="00055F4E" w:rsidRPr="00166359" w:rsidRDefault="00055F4E" w:rsidP="00AC54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59">
        <w:rPr>
          <w:rFonts w:ascii="Times New Roman" w:hAnsi="Times New Roman" w:cs="Times New Roman"/>
          <w:b/>
          <w:sz w:val="24"/>
          <w:szCs w:val="24"/>
        </w:rPr>
        <w:t>IV. Pogoji sodelovanja: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1. Kot ponudniki lahko sodelujejo pravne in fizične osebe: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pravne osebe s sedežem na območju Republike Slovenije ali druge države Evropske unije in fizične osebe, ki so državljani Republike Slovenije ali druge države članice Evropske unije. Dokazilo o državljanstvu </w:t>
      </w:r>
      <w:r w:rsidR="00751CA9">
        <w:rPr>
          <w:rFonts w:ascii="Times New Roman" w:hAnsi="Times New Roman" w:cs="Times New Roman"/>
          <w:color w:val="000000" w:themeColor="text1"/>
          <w:sz w:val="24"/>
          <w:szCs w:val="24"/>
        </w:rPr>
        <w:t>fizične osebe si, po pooblastilu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ponudnika, pridobi prodajalec pri pristojnem upravnem organu. Sedež pravne osebe se izkazuje z izpisom iz AJPES, ki si ga pridobi prodajalec,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kolikor je ponudba podana po pooblaščencu, je potrebno predložiti pisno pooblastilo overjeno pri notarju.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2. Ponudnik je dolžan vplačati varščino (kavcijo) za resnost ponudbe v višini 10% od izhodiščne vrednosti nep</w:t>
      </w:r>
      <w:r w:rsidR="00FC2C38" w:rsidRPr="00BD54AD">
        <w:rPr>
          <w:rFonts w:ascii="Times New Roman" w:hAnsi="Times New Roman" w:cs="Times New Roman"/>
          <w:sz w:val="24"/>
          <w:szCs w:val="24"/>
        </w:rPr>
        <w:t>remičnin na račun  01266-010000559</w:t>
      </w:r>
      <w:r w:rsidR="00744B95" w:rsidRPr="00BD54AD">
        <w:rPr>
          <w:rFonts w:ascii="Times New Roman" w:hAnsi="Times New Roman" w:cs="Times New Roman"/>
          <w:sz w:val="24"/>
          <w:szCs w:val="24"/>
        </w:rPr>
        <w:t>2</w:t>
      </w:r>
      <w:r w:rsidR="008B7FFC" w:rsidRPr="00BD54AD">
        <w:rPr>
          <w:rFonts w:ascii="Times New Roman" w:hAnsi="Times New Roman" w:cs="Times New Roman"/>
          <w:sz w:val="24"/>
          <w:szCs w:val="24"/>
        </w:rPr>
        <w:t xml:space="preserve">  </w:t>
      </w:r>
      <w:r w:rsidRPr="00BD54AD">
        <w:rPr>
          <w:rFonts w:ascii="Times New Roman" w:hAnsi="Times New Roman" w:cs="Times New Roman"/>
          <w:sz w:val="24"/>
          <w:szCs w:val="24"/>
        </w:rPr>
        <w:t>, s sklicem za javno zbira</w:t>
      </w:r>
      <w:r w:rsidR="00FC2C38" w:rsidRPr="00BD54AD">
        <w:rPr>
          <w:rFonts w:ascii="Times New Roman" w:hAnsi="Times New Roman" w:cs="Times New Roman"/>
          <w:sz w:val="24"/>
          <w:szCs w:val="24"/>
        </w:rPr>
        <w:t xml:space="preserve">nje ponudb </w:t>
      </w:r>
      <w:r w:rsidRPr="00BD54AD">
        <w:rPr>
          <w:rFonts w:ascii="Times New Roman" w:hAnsi="Times New Roman" w:cs="Times New Roman"/>
          <w:sz w:val="24"/>
          <w:szCs w:val="24"/>
        </w:rPr>
        <w:t xml:space="preserve"> in sicer do roka za oddajo ponudbe. Izbranemu ponudniku bo varščina všteta v kupnino. Ostalim ponudnikom se varščina vrne v roku 30 dni po izboru najugodnejšega ponudnika. Znesek varščine se v nobenem primeru ne obrestuje.</w:t>
      </w:r>
    </w:p>
    <w:p w:rsidR="00055F4E" w:rsidRPr="00166359" w:rsidRDefault="00055F4E" w:rsidP="00AC54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59">
        <w:rPr>
          <w:rFonts w:ascii="Times New Roman" w:hAnsi="Times New Roman" w:cs="Times New Roman"/>
          <w:b/>
          <w:sz w:val="24"/>
          <w:szCs w:val="24"/>
        </w:rPr>
        <w:t>V. Vsebina pisne ponudbe: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Ponudba mora vsebovati: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podatke o ponudniku s točnim naslovom, če je ponudnik fizična oseba;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firmo in sedež ponudnika, če je ponudnik pravna oseba;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matično in davčno številko ponudnika;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fizične osebe: pooblastilo ponudnika prodajalcu, da le ta pridobi dokazilo o državljanstvu;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pooblastilo, overjeno pri notarju, v primeru, da se ponudba poda po pooblaščencu;</w:t>
      </w:r>
    </w:p>
    <w:p w:rsidR="00055F4E" w:rsidRPr="00BD54AD" w:rsidRDefault="00FC2C38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lastRenderedPageBreak/>
        <w:t>– navedbo nepremične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, ki </w:t>
      </w:r>
      <w:r w:rsidRPr="00BD54AD">
        <w:rPr>
          <w:rFonts w:ascii="Times New Roman" w:hAnsi="Times New Roman" w:cs="Times New Roman"/>
          <w:sz w:val="24"/>
          <w:szCs w:val="24"/>
        </w:rPr>
        <w:t>je</w:t>
      </w:r>
      <w:r w:rsidR="00055F4E" w:rsidRPr="00BD54AD">
        <w:rPr>
          <w:rFonts w:ascii="Times New Roman" w:hAnsi="Times New Roman" w:cs="Times New Roman"/>
          <w:sz w:val="24"/>
          <w:szCs w:val="24"/>
        </w:rPr>
        <w:t xml:space="preserve"> predmet ponudbe;</w:t>
      </w:r>
      <w:r w:rsidR="002F50A6">
        <w:rPr>
          <w:rFonts w:ascii="Times New Roman" w:hAnsi="Times New Roman" w:cs="Times New Roman"/>
          <w:sz w:val="24"/>
          <w:szCs w:val="24"/>
        </w:rPr>
        <w:t xml:space="preserve"> ( </w:t>
      </w:r>
      <w:r w:rsidR="002F50A6" w:rsidRPr="002F50A6">
        <w:rPr>
          <w:rFonts w:ascii="Times New Roman" w:hAnsi="Times New Roman" w:cs="Times New Roman"/>
          <w:b/>
          <w:sz w:val="24"/>
          <w:szCs w:val="24"/>
        </w:rPr>
        <w:t>obvezno navesti številke parcel</w:t>
      </w:r>
      <w:r w:rsidR="002F50A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ponujeno ceno za nepremičnine, ki ne sme biti nižja od izhodiščne cene;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dokazilo o plačilu varščine v višini 10% od izhodiščne vrednosti nepremičnine;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lastnoročno podpisano pisno izjavo ponudnika, da se strinja z vsemi pogoji razpisa;</w:t>
      </w:r>
    </w:p>
    <w:p w:rsidR="00055F4E" w:rsidRPr="00BD54AD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lastnoročno podpisano izjavi ponudnika, da ponudba velja še 90 dni od dneva odpiranja ponudb;</w:t>
      </w:r>
    </w:p>
    <w:p w:rsidR="00AD146C" w:rsidRDefault="00055F4E" w:rsidP="00AC5418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– številko transakcijskega oziroma osebnega računa ponudnika za morebitno vračilo vplačane varščine.</w:t>
      </w:r>
    </w:p>
    <w:p w:rsidR="004C51D2" w:rsidRPr="00166359" w:rsidRDefault="004C51D2" w:rsidP="004C51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59">
        <w:rPr>
          <w:rFonts w:ascii="Times New Roman" w:hAnsi="Times New Roman" w:cs="Times New Roman"/>
          <w:b/>
          <w:sz w:val="24"/>
          <w:szCs w:val="24"/>
        </w:rPr>
        <w:t>VI. Postopek zbiranja ponudb in izbire najugodnejšega ponudnika: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 xml:space="preserve">1. Ponudba se bo štela za pravočasno, če bo prispela 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najpozneje  </w:t>
      </w:r>
      <w:r w:rsidRPr="00703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30. junij</w:t>
      </w:r>
      <w:r w:rsidRPr="0070331D">
        <w:rPr>
          <w:rFonts w:ascii="Times New Roman" w:hAnsi="Times New Roman" w:cs="Times New Roman"/>
          <w:color w:val="000000" w:themeColor="text1"/>
          <w:sz w:val="24"/>
          <w:szCs w:val="24"/>
        </w:rPr>
        <w:t>a 2016, do 8. ure,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naslov: Občina Loški Potok, Hrib 17, 1318 Loški Potok, z oznako: »Ne odpiraj – Javno zbiranje ponudb </w:t>
      </w:r>
      <w:r w:rsidRPr="00BD54AD">
        <w:rPr>
          <w:rFonts w:ascii="Times New Roman" w:hAnsi="Times New Roman" w:cs="Times New Roman"/>
          <w:sz w:val="24"/>
          <w:szCs w:val="24"/>
        </w:rPr>
        <w:t>za prodajo nepremičnin«. Na hrbtni strani ovojnice mora biti označen polni naslov pošiljatelja ponudbe. Ponudbe lahko ponudniki oddajo v tajništvu Občine Loški Potok ali jih pošljejo priporočeno na zgoraj navedeni naslov.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2. Nepravočasne ponudbe ali pravočasne, vendar nepopolne ponudbe, bo Komisija izločila in o tem obvestila ponudnika. Ponudnik, ki je oddal ponudbo, ki vsebuje vse sestavine ponudbe, ima pa pomanjkljivo dokumentacijo, tako ponudbo dopolni do odpiranja ponudb.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 xml:space="preserve">3. Odpiranje ponudb je javno in bo potekalo v prostorih </w:t>
      </w:r>
      <w:r w:rsidRPr="0070331D">
        <w:rPr>
          <w:rFonts w:ascii="Times New Roman" w:hAnsi="Times New Roman" w:cs="Times New Roman"/>
          <w:sz w:val="24"/>
          <w:szCs w:val="24"/>
        </w:rPr>
        <w:t>Občine Loški Potok</w:t>
      </w:r>
      <w:r w:rsidRPr="00703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30. junija</w:t>
      </w:r>
      <w:r w:rsidRPr="00703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2016, ob 9.</w:t>
      </w:r>
      <w:r w:rsidRPr="00B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uri. Predstavniki ponudnikov se morajo v primeru prisotnosti pri odpiranju ponudb izkazati z </w:t>
      </w:r>
      <w:r w:rsidRPr="00BD54AD">
        <w:rPr>
          <w:rFonts w:ascii="Times New Roman" w:hAnsi="Times New Roman" w:cs="Times New Roman"/>
          <w:sz w:val="24"/>
          <w:szCs w:val="24"/>
        </w:rPr>
        <w:t>osebnim dokumentom in pooblastilom ponudnika.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4. Kot najugodnejši ponudnik bo izbran tisti, ki bo ponudil najvišjo ponudbeno ceno.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5. O izbiri najugodnejšega ponudnika bo odločal župan. Odpiranje ponudb bo opravila Komisija, ki bo po zaključku postopka predlagala županu izbor najugodnejšega ponudnika.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6. Ponudniki bodo o izboru obveščeni najkasneje v 8 dneh od dneva odpiranja ponudb.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>7. Prodajalec na podlagi tega zbiranja ponudb ni zavezan k sklenitvi pogodbe o prodaji nepremičnine z najugodnejšim ponudnikom oziroma lahko začeti postopek do sklenitve pogodbe ustavi.</w:t>
      </w:r>
    </w:p>
    <w:p w:rsidR="004C51D2" w:rsidRPr="00166359" w:rsidRDefault="004C51D2" w:rsidP="004C51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59">
        <w:rPr>
          <w:rFonts w:ascii="Times New Roman" w:hAnsi="Times New Roman" w:cs="Times New Roman"/>
          <w:b/>
          <w:sz w:val="24"/>
          <w:szCs w:val="24"/>
        </w:rPr>
        <w:t>VII. Informacije: dodatne informacije so na voljo na tel. 01/835-01-10.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="00F2103D">
        <w:rPr>
          <w:rFonts w:ascii="Times New Roman" w:hAnsi="Times New Roman" w:cs="Times New Roman"/>
          <w:sz w:val="24"/>
          <w:szCs w:val="24"/>
        </w:rPr>
        <w:t>Hrib -</w:t>
      </w:r>
      <w:r w:rsidRPr="00BD54AD">
        <w:rPr>
          <w:rFonts w:ascii="Times New Roman" w:hAnsi="Times New Roman" w:cs="Times New Roman"/>
          <w:sz w:val="24"/>
          <w:szCs w:val="24"/>
        </w:rPr>
        <w:t xml:space="preserve"> </w:t>
      </w:r>
      <w:r w:rsidRPr="0070331D">
        <w:rPr>
          <w:rFonts w:ascii="Times New Roman" w:hAnsi="Times New Roman" w:cs="Times New Roman"/>
          <w:sz w:val="24"/>
          <w:szCs w:val="24"/>
        </w:rPr>
        <w:t>Loški Poto</w:t>
      </w:r>
      <w:r w:rsidR="00F2103D">
        <w:rPr>
          <w:rFonts w:ascii="Times New Roman" w:hAnsi="Times New Roman" w:cs="Times New Roman"/>
          <w:sz w:val="24"/>
          <w:szCs w:val="24"/>
        </w:rPr>
        <w:t>k</w:t>
      </w:r>
      <w:r w:rsidRPr="0070331D">
        <w:rPr>
          <w:rFonts w:ascii="Times New Roman" w:hAnsi="Times New Roman" w:cs="Times New Roman"/>
          <w:sz w:val="24"/>
          <w:szCs w:val="24"/>
        </w:rPr>
        <w:t>, 14.</w:t>
      </w:r>
      <w:r w:rsidR="00F2103D">
        <w:rPr>
          <w:rFonts w:ascii="Times New Roman" w:hAnsi="Times New Roman" w:cs="Times New Roman"/>
          <w:sz w:val="24"/>
          <w:szCs w:val="24"/>
        </w:rPr>
        <w:t xml:space="preserve"> </w:t>
      </w:r>
      <w:r w:rsidRPr="0070331D">
        <w:rPr>
          <w:rFonts w:ascii="Times New Roman" w:hAnsi="Times New Roman" w:cs="Times New Roman"/>
          <w:sz w:val="24"/>
          <w:szCs w:val="24"/>
        </w:rPr>
        <w:t>06.</w:t>
      </w:r>
      <w:r w:rsidR="00F2103D">
        <w:rPr>
          <w:rFonts w:ascii="Times New Roman" w:hAnsi="Times New Roman" w:cs="Times New Roman"/>
          <w:sz w:val="24"/>
          <w:szCs w:val="24"/>
        </w:rPr>
        <w:t xml:space="preserve"> </w:t>
      </w:r>
      <w:r w:rsidRPr="0070331D">
        <w:rPr>
          <w:rFonts w:ascii="Times New Roman" w:hAnsi="Times New Roman" w:cs="Times New Roman"/>
          <w:sz w:val="24"/>
          <w:szCs w:val="24"/>
        </w:rPr>
        <w:t>2016</w:t>
      </w:r>
      <w:r w:rsidRPr="00BD54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51D2" w:rsidRPr="00BD54AD" w:rsidRDefault="004C51D2" w:rsidP="004C51D2">
      <w:pPr>
        <w:jc w:val="both"/>
        <w:rPr>
          <w:rFonts w:ascii="Times New Roman" w:hAnsi="Times New Roman" w:cs="Times New Roman"/>
          <w:sz w:val="24"/>
          <w:szCs w:val="24"/>
        </w:rPr>
      </w:pPr>
      <w:r w:rsidRPr="00BD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Župan:</w:t>
      </w:r>
    </w:p>
    <w:p w:rsidR="00A03DAD" w:rsidRDefault="004C51D2" w:rsidP="00F2103D">
      <w:pPr>
        <w:jc w:val="both"/>
      </w:pPr>
      <w:r w:rsidRPr="00BD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Ivan Benčina l.</w:t>
      </w:r>
      <w:r w:rsidR="00F2103D">
        <w:rPr>
          <w:rFonts w:ascii="Times New Roman" w:hAnsi="Times New Roman" w:cs="Times New Roman"/>
          <w:sz w:val="24"/>
          <w:szCs w:val="24"/>
        </w:rPr>
        <w:t xml:space="preserve"> </w:t>
      </w:r>
      <w:r w:rsidRPr="00BD54AD">
        <w:rPr>
          <w:rFonts w:ascii="Times New Roman" w:hAnsi="Times New Roman" w:cs="Times New Roman"/>
          <w:sz w:val="24"/>
          <w:szCs w:val="24"/>
        </w:rPr>
        <w:t>r.</w:t>
      </w:r>
      <w:bookmarkStart w:id="0" w:name="_GoBack"/>
      <w:bookmarkEnd w:id="0"/>
    </w:p>
    <w:sectPr w:rsidR="00A0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79"/>
    <w:rsid w:val="00002AF5"/>
    <w:rsid w:val="00055594"/>
    <w:rsid w:val="00055F4E"/>
    <w:rsid w:val="000B7C4C"/>
    <w:rsid w:val="000C5CD8"/>
    <w:rsid w:val="000E0702"/>
    <w:rsid w:val="0014413D"/>
    <w:rsid w:val="00166359"/>
    <w:rsid w:val="001D4803"/>
    <w:rsid w:val="001E07FE"/>
    <w:rsid w:val="001E30FF"/>
    <w:rsid w:val="00273923"/>
    <w:rsid w:val="0027505A"/>
    <w:rsid w:val="002F50A6"/>
    <w:rsid w:val="00306A3F"/>
    <w:rsid w:val="0032669F"/>
    <w:rsid w:val="0033191D"/>
    <w:rsid w:val="00390B38"/>
    <w:rsid w:val="003A6572"/>
    <w:rsid w:val="003D212F"/>
    <w:rsid w:val="004039FC"/>
    <w:rsid w:val="0040470D"/>
    <w:rsid w:val="0042526A"/>
    <w:rsid w:val="00475AC2"/>
    <w:rsid w:val="004C51D2"/>
    <w:rsid w:val="005014D7"/>
    <w:rsid w:val="005417F6"/>
    <w:rsid w:val="006205CC"/>
    <w:rsid w:val="00620671"/>
    <w:rsid w:val="00623DFD"/>
    <w:rsid w:val="00666FF2"/>
    <w:rsid w:val="006A7A8F"/>
    <w:rsid w:val="006F4740"/>
    <w:rsid w:val="00714A0C"/>
    <w:rsid w:val="00735EBC"/>
    <w:rsid w:val="00740349"/>
    <w:rsid w:val="00744B95"/>
    <w:rsid w:val="00751CA9"/>
    <w:rsid w:val="007853B4"/>
    <w:rsid w:val="008434BD"/>
    <w:rsid w:val="00866A89"/>
    <w:rsid w:val="00877842"/>
    <w:rsid w:val="00877C03"/>
    <w:rsid w:val="008B7FFC"/>
    <w:rsid w:val="00915279"/>
    <w:rsid w:val="00927BE5"/>
    <w:rsid w:val="00975119"/>
    <w:rsid w:val="00982866"/>
    <w:rsid w:val="0099321F"/>
    <w:rsid w:val="009D5A28"/>
    <w:rsid w:val="00A03DAD"/>
    <w:rsid w:val="00A159DF"/>
    <w:rsid w:val="00A22357"/>
    <w:rsid w:val="00AC5418"/>
    <w:rsid w:val="00AC7CCE"/>
    <w:rsid w:val="00AD146C"/>
    <w:rsid w:val="00AD3BFD"/>
    <w:rsid w:val="00B06FC6"/>
    <w:rsid w:val="00B67BCE"/>
    <w:rsid w:val="00B8769C"/>
    <w:rsid w:val="00BA3B16"/>
    <w:rsid w:val="00BA40F5"/>
    <w:rsid w:val="00BD54AD"/>
    <w:rsid w:val="00C25907"/>
    <w:rsid w:val="00C81FF2"/>
    <w:rsid w:val="00CB74AD"/>
    <w:rsid w:val="00CC4A0C"/>
    <w:rsid w:val="00CF1BC0"/>
    <w:rsid w:val="00D04733"/>
    <w:rsid w:val="00D40D6B"/>
    <w:rsid w:val="00D43096"/>
    <w:rsid w:val="00D46580"/>
    <w:rsid w:val="00D67D1F"/>
    <w:rsid w:val="00DE0CE1"/>
    <w:rsid w:val="00E172F6"/>
    <w:rsid w:val="00E563A2"/>
    <w:rsid w:val="00E6264C"/>
    <w:rsid w:val="00E66E42"/>
    <w:rsid w:val="00EC27AE"/>
    <w:rsid w:val="00ED47F3"/>
    <w:rsid w:val="00F2103D"/>
    <w:rsid w:val="00F75F0B"/>
    <w:rsid w:val="00FC2C38"/>
    <w:rsid w:val="00FD420C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20C"/>
  </w:style>
  <w:style w:type="paragraph" w:styleId="Naslov1">
    <w:name w:val="heading 1"/>
    <w:basedOn w:val="Navaden"/>
    <w:next w:val="Navaden"/>
    <w:link w:val="Naslov1Znak"/>
    <w:qFormat/>
    <w:rsid w:val="00F75F0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75F0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F75F0B"/>
    <w:pPr>
      <w:tabs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2880" w:hanging="2880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40F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40349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1E3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20C"/>
  </w:style>
  <w:style w:type="paragraph" w:styleId="Naslov1">
    <w:name w:val="heading 1"/>
    <w:basedOn w:val="Navaden"/>
    <w:next w:val="Navaden"/>
    <w:link w:val="Naslov1Znak"/>
    <w:qFormat/>
    <w:rsid w:val="00F75F0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75F0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F75F0B"/>
    <w:pPr>
      <w:tabs>
        <w:tab w:val="left" w:pos="2880"/>
      </w:tabs>
      <w:overflowPunct w:val="0"/>
      <w:autoSpaceDE w:val="0"/>
      <w:autoSpaceDN w:val="0"/>
      <w:adjustRightInd w:val="0"/>
      <w:spacing w:after="0" w:line="240" w:lineRule="auto"/>
      <w:ind w:left="2880" w:hanging="2880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40F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40349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1E3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2075" TargetMode="External"/><Relationship Id="rId13" Type="http://schemas.openxmlformats.org/officeDocument/2006/relationships/hyperlink" Target="http://www.uradni-list.si/1/objava.jsp?sop=2012-01-17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3-01-1783" TargetMode="External"/><Relationship Id="rId12" Type="http://schemas.openxmlformats.org/officeDocument/2006/relationships/hyperlink" Target="http://www.uradni-list.si/1/objava.jsp?sop=2011-01-173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12-01-2849" TargetMode="External"/><Relationship Id="rId11" Type="http://schemas.openxmlformats.org/officeDocument/2006/relationships/hyperlink" Target="http://www.uradni-list.si/1/objava.jsp?sop=2015-01-2976" TargetMode="External"/><Relationship Id="rId5" Type="http://schemas.openxmlformats.org/officeDocument/2006/relationships/hyperlink" Target="http://www.uradni-list.si/1/objava.jsp?sop=2010-01-4654" TargetMode="External"/><Relationship Id="rId15" Type="http://schemas.openxmlformats.org/officeDocument/2006/relationships/hyperlink" Target="http://www.uradni-list.si/1/objava.jsp?sop=2014-01-0246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4-01-3646" TargetMode="External"/><Relationship Id="rId14" Type="http://schemas.openxmlformats.org/officeDocument/2006/relationships/hyperlink" Target="http://www.uradni-list.si/1/objava.jsp?sop=2013-01-08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SVLR</dc:creator>
  <cp:lastModifiedBy>Mojca</cp:lastModifiedBy>
  <cp:revision>2</cp:revision>
  <cp:lastPrinted>2016-06-13T08:39:00Z</cp:lastPrinted>
  <dcterms:created xsi:type="dcterms:W3CDTF">2016-06-14T11:25:00Z</dcterms:created>
  <dcterms:modified xsi:type="dcterms:W3CDTF">2016-06-14T11:25:00Z</dcterms:modified>
</cp:coreProperties>
</file>