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74" w:rsidRDefault="006E3274" w:rsidP="006E3274">
      <w:pPr>
        <w:jc w:val="both"/>
        <w:rPr>
          <w:b/>
        </w:rPr>
      </w:pPr>
      <w:r>
        <w:rPr>
          <w:b/>
        </w:rPr>
        <w:t>PRILOGA:</w:t>
      </w:r>
    </w:p>
    <w:p w:rsidR="006E3274" w:rsidRDefault="006E3274" w:rsidP="006E3274">
      <w:pPr>
        <w:jc w:val="both"/>
        <w:rPr>
          <w:b/>
        </w:rPr>
      </w:pPr>
    </w:p>
    <w:p w:rsidR="006E3274" w:rsidRDefault="006E3274" w:rsidP="006E3274">
      <w:pPr>
        <w:jc w:val="both"/>
        <w:rPr>
          <w:b/>
        </w:rPr>
      </w:pPr>
      <w:r w:rsidRPr="006E3274">
        <w:rPr>
          <w:b/>
        </w:rPr>
        <w:t>Priporočila lokalne skupnosti za ravnanje prebivalcev, ki se oskrbujejo iz sistemov za oskrbo s pitno vodo, ki zagotavljajo manj kot povp</w:t>
      </w:r>
      <w:r w:rsidR="003D267D">
        <w:rPr>
          <w:b/>
        </w:rPr>
        <w:t xml:space="preserve">rečno 10 m3 pitne vode na dan </w:t>
      </w:r>
      <w:r w:rsidRPr="006E3274">
        <w:rPr>
          <w:b/>
        </w:rPr>
        <w:t>i</w:t>
      </w:r>
      <w:r w:rsidR="003D267D">
        <w:rPr>
          <w:b/>
        </w:rPr>
        <w:t>n</w:t>
      </w:r>
      <w:bookmarkStart w:id="0" w:name="_GoBack"/>
      <w:bookmarkEnd w:id="0"/>
      <w:r w:rsidRPr="006E3274">
        <w:rPr>
          <w:b/>
        </w:rPr>
        <w:t xml:space="preserve"> oskrbujejo manj kot 50 oseb</w:t>
      </w:r>
      <w:r>
        <w:rPr>
          <w:b/>
        </w:rPr>
        <w:t xml:space="preserve">, da v primeru utemeljenega suma, da pitna voda predstavlja potencialno nevarnost za zdravje ljudi (Zveza: Pravilnik o pitni vodi – Ur. l. RS, št. 19/04, 35/04, 26/06 in 92/06 – 4. člen): </w:t>
      </w:r>
    </w:p>
    <w:p w:rsidR="006E3274" w:rsidRPr="006E3274" w:rsidRDefault="006E3274" w:rsidP="006E327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tillium Web" w:hAnsi="Titillium Web" w:cs="Helvetica"/>
          <w:b/>
          <w:color w:val="888888"/>
        </w:rPr>
      </w:pPr>
      <w:r w:rsidRPr="006E3274">
        <w:rPr>
          <w:rFonts w:ascii="Titillium Web" w:hAnsi="Titillium Web" w:cs="Helvetica"/>
          <w:b/>
          <w:color w:val="888888"/>
        </w:rPr>
        <w:t>po izvedbi novih del ali po sanacijah na kateremkoli delu vodovodnega omrežja zagotovijo izvedbo dezinfekcije tega dela omrežja. Izvajalec dezinfekcije naj pri tem upošteva Navodila za izvedbo dezinfekcije vodovodnega omrežja (dokument v delu);</w:t>
      </w:r>
    </w:p>
    <w:p w:rsidR="006E3274" w:rsidRPr="006E3274" w:rsidRDefault="006E3274" w:rsidP="006E327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tillium Web" w:hAnsi="Titillium Web" w:cs="Helvetica"/>
          <w:b/>
          <w:color w:val="888888"/>
        </w:rPr>
      </w:pPr>
      <w:r w:rsidRPr="006E3274">
        <w:rPr>
          <w:rFonts w:ascii="Titillium Web" w:hAnsi="Titillium Web" w:cs="Helvetica"/>
          <w:b/>
          <w:color w:val="888888"/>
        </w:rPr>
        <w:t xml:space="preserve">se v primeru oskrbe s pitno vodo iz cistern (v primeru omejitve ali prepovedi uporabe pitne vode) upoštevajo </w:t>
      </w:r>
      <w:hyperlink r:id="rId6" w:tgtFrame="_blank" w:history="1">
        <w:r w:rsidRPr="006E3274">
          <w:rPr>
            <w:rStyle w:val="Krepko"/>
            <w:rFonts w:ascii="Titillium Web" w:hAnsi="Titillium Web" w:cs="Helvetica"/>
            <w:b w:val="0"/>
            <w:color w:val="15CABF"/>
            <w:u w:val="single"/>
          </w:rPr>
          <w:t>Priporočila za ravnanje pri oskrbi s pitno vodo s cisternami</w:t>
        </w:r>
      </w:hyperlink>
      <w:r w:rsidRPr="006E3274">
        <w:rPr>
          <w:rFonts w:ascii="Titillium Web" w:hAnsi="Titillium Web" w:cs="Helvetica"/>
          <w:b/>
          <w:color w:val="888888"/>
        </w:rPr>
        <w:t>;</w:t>
      </w:r>
    </w:p>
    <w:p w:rsidR="006E3274" w:rsidRDefault="006E3274" w:rsidP="006E327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tillium Web" w:hAnsi="Titillium Web" w:cs="Helvetica"/>
          <w:b/>
          <w:color w:val="888888"/>
        </w:rPr>
      </w:pPr>
      <w:r w:rsidRPr="006E3274">
        <w:rPr>
          <w:rFonts w:ascii="Titillium Web" w:hAnsi="Titillium Web" w:cs="Helvetica"/>
          <w:b/>
          <w:color w:val="888888"/>
        </w:rPr>
        <w:t xml:space="preserve">se v primeru, da lokalna skupnost predpiše prekuhavanje pitne vode upošteva </w:t>
      </w:r>
      <w:hyperlink r:id="rId7" w:tgtFrame="_blank" w:history="1">
        <w:r w:rsidRPr="006E3274">
          <w:rPr>
            <w:rStyle w:val="Krepko"/>
            <w:rFonts w:ascii="Titillium Web" w:hAnsi="Titillium Web" w:cs="Helvetica"/>
            <w:b w:val="0"/>
            <w:color w:val="15CABF"/>
            <w:u w:val="single"/>
          </w:rPr>
          <w:t>Navodila o prekuhavanju vode</w:t>
        </w:r>
      </w:hyperlink>
      <w:r w:rsidRPr="006E3274">
        <w:rPr>
          <w:rFonts w:ascii="Titillium Web" w:hAnsi="Titillium Web" w:cs="Helvetica"/>
          <w:b/>
          <w:color w:val="888888"/>
        </w:rPr>
        <w:t xml:space="preserve">. Lokalna skupnost naj pri odločitvi za ukrep prekuhavanja pitne vode upošteva </w:t>
      </w:r>
      <w:hyperlink r:id="rId8" w:tgtFrame="_blank" w:history="1">
        <w:r w:rsidRPr="006E3274">
          <w:rPr>
            <w:rStyle w:val="Krepko"/>
            <w:rFonts w:ascii="Titillium Web" w:hAnsi="Titillium Web" w:cs="Helvetica"/>
            <w:b w:val="0"/>
            <w:color w:val="15CABF"/>
            <w:u w:val="single"/>
          </w:rPr>
          <w:t>Kriterije za razglasitev ukrepa prekuhavanja pitne vode</w:t>
        </w:r>
      </w:hyperlink>
      <w:r w:rsidRPr="006E3274">
        <w:rPr>
          <w:rFonts w:ascii="Titillium Web" w:hAnsi="Titillium Web" w:cs="Helvetica"/>
          <w:b/>
          <w:color w:val="888888"/>
        </w:rPr>
        <w:t>.</w:t>
      </w:r>
    </w:p>
    <w:p w:rsidR="006E3274" w:rsidRPr="006E3274" w:rsidRDefault="006E3274" w:rsidP="006E3274">
      <w:pPr>
        <w:pStyle w:val="Navadensplet"/>
        <w:jc w:val="both"/>
        <w:rPr>
          <w:rFonts w:ascii="Titillium Web" w:hAnsi="Titillium Web" w:cs="Helvetica"/>
          <w:b/>
          <w:color w:val="888888"/>
        </w:rPr>
      </w:pPr>
      <w:r w:rsidRPr="006E3274">
        <w:rPr>
          <w:rFonts w:ascii="Titillium Web" w:hAnsi="Titillium Web" w:cs="Helvetica"/>
          <w:b/>
          <w:color w:val="888888"/>
        </w:rPr>
        <w:t>Poleg zgornjih priporočil za ravnanje, lahko prebivalci, omenjenih lokalnih skupnosti, upoštevajo tudi druga priporočila za ravnanje prebivalcev, ki se oskrbujejo iz večjih sistemov za oskrbo pitne vode:</w:t>
      </w:r>
    </w:p>
    <w:p w:rsidR="006E3274" w:rsidRDefault="003D267D" w:rsidP="006E3274">
      <w:pPr>
        <w:numPr>
          <w:ilvl w:val="0"/>
          <w:numId w:val="3"/>
        </w:numPr>
        <w:spacing w:before="100" w:beforeAutospacing="1" w:after="100" w:afterAutospacing="1"/>
        <w:rPr>
          <w:rFonts w:ascii="Titillium Web" w:hAnsi="Titillium Web" w:cs="Helvetica"/>
          <w:color w:val="888888"/>
        </w:rPr>
      </w:pPr>
      <w:hyperlink r:id="rId9" w:tgtFrame="_blank" w:history="1">
        <w:r w:rsidR="006E3274">
          <w:rPr>
            <w:rStyle w:val="Krepko"/>
            <w:rFonts w:ascii="Titillium Web" w:hAnsi="Titillium Web" w:cs="Helvetica"/>
            <w:color w:val="15CABF"/>
            <w:u w:val="single"/>
          </w:rPr>
          <w:t>Priporočila lastnikom objektov za vzdrževanje hišnega vodovodnega omrežja</w:t>
        </w:r>
      </w:hyperlink>
      <w:r w:rsidR="006E3274">
        <w:rPr>
          <w:rStyle w:val="Krepko"/>
          <w:rFonts w:ascii="Titillium Web" w:hAnsi="Titillium Web" w:cs="Helvetica"/>
          <w:color w:val="888888"/>
        </w:rPr>
        <w:t>;</w:t>
      </w:r>
    </w:p>
    <w:p w:rsidR="006E3274" w:rsidRDefault="003D267D" w:rsidP="006E3274">
      <w:pPr>
        <w:numPr>
          <w:ilvl w:val="0"/>
          <w:numId w:val="3"/>
        </w:numPr>
        <w:spacing w:before="100" w:beforeAutospacing="1" w:after="100" w:afterAutospacing="1"/>
        <w:rPr>
          <w:rFonts w:ascii="Titillium Web" w:hAnsi="Titillium Web" w:cs="Helvetica"/>
          <w:color w:val="888888"/>
        </w:rPr>
      </w:pPr>
      <w:hyperlink r:id="rId10" w:tgtFrame="_blank" w:history="1">
        <w:r w:rsidR="006E3274">
          <w:rPr>
            <w:rStyle w:val="Krepko"/>
            <w:rFonts w:ascii="Titillium Web" w:hAnsi="Titillium Web" w:cs="Helvetica"/>
            <w:color w:val="15CABF"/>
            <w:u w:val="single"/>
          </w:rPr>
          <w:t>Priporočila lastnikom objektov o ukrepih za zmanjšanje in odpravo tveganja, če je vzrok neskladnosti pitne vode hišno vodovodno omrežje</w:t>
        </w:r>
      </w:hyperlink>
      <w:r w:rsidR="006E3274">
        <w:rPr>
          <w:rStyle w:val="Krepko"/>
          <w:rFonts w:ascii="Titillium Web" w:hAnsi="Titillium Web" w:cs="Helvetica"/>
          <w:color w:val="888888"/>
        </w:rPr>
        <w:t>;</w:t>
      </w:r>
    </w:p>
    <w:p w:rsidR="006E3274" w:rsidRDefault="003D267D" w:rsidP="006E3274">
      <w:pPr>
        <w:numPr>
          <w:ilvl w:val="0"/>
          <w:numId w:val="3"/>
        </w:numPr>
        <w:spacing w:before="100" w:beforeAutospacing="1" w:after="100" w:afterAutospacing="1"/>
        <w:rPr>
          <w:rFonts w:ascii="Titillium Web" w:hAnsi="Titillium Web" w:cs="Helvetica"/>
          <w:color w:val="888888"/>
        </w:rPr>
      </w:pPr>
      <w:hyperlink r:id="rId11" w:tgtFrame="_blank" w:history="1">
        <w:r w:rsidR="006E3274">
          <w:rPr>
            <w:rStyle w:val="Krepko"/>
            <w:rFonts w:ascii="Titillium Web" w:hAnsi="Titillium Web" w:cs="Helvetica"/>
            <w:color w:val="15CABF"/>
            <w:u w:val="single"/>
          </w:rPr>
          <w:t>Priporočila lastnikom objektov o ukrepih za zmanjšanje in odpravo tveganja, če je vzrok povišanih koncentracij svinca v pitni vodi hišno vodovodno omrežje</w:t>
        </w:r>
      </w:hyperlink>
      <w:r w:rsidR="006E3274">
        <w:rPr>
          <w:rStyle w:val="Krepko"/>
          <w:rFonts w:ascii="Titillium Web" w:hAnsi="Titillium Web" w:cs="Helvetica"/>
          <w:color w:val="888888"/>
        </w:rPr>
        <w:t>;</w:t>
      </w:r>
    </w:p>
    <w:p w:rsidR="006E3274" w:rsidRDefault="003D267D" w:rsidP="006E3274">
      <w:pPr>
        <w:numPr>
          <w:ilvl w:val="0"/>
          <w:numId w:val="3"/>
        </w:numPr>
        <w:spacing w:before="100" w:beforeAutospacing="1" w:after="100" w:afterAutospacing="1"/>
        <w:rPr>
          <w:rFonts w:ascii="Titillium Web" w:hAnsi="Titillium Web" w:cs="Helvetica"/>
          <w:color w:val="888888"/>
        </w:rPr>
      </w:pPr>
      <w:hyperlink r:id="rId12" w:tgtFrame="_blank" w:history="1">
        <w:r w:rsidR="006E3274">
          <w:rPr>
            <w:rStyle w:val="Krepko"/>
            <w:rFonts w:ascii="Titillium Web" w:hAnsi="Titillium Web" w:cs="Helvetica"/>
            <w:color w:val="15CABF"/>
            <w:u w:val="single"/>
          </w:rPr>
          <w:t xml:space="preserve">Preprečevanje razmnoževanja </w:t>
        </w:r>
        <w:proofErr w:type="spellStart"/>
        <w:r w:rsidR="006E3274">
          <w:rPr>
            <w:rStyle w:val="Krepko"/>
            <w:rFonts w:ascii="Titillium Web" w:hAnsi="Titillium Web" w:cs="Helvetica"/>
            <w:color w:val="15CABF"/>
            <w:u w:val="single"/>
          </w:rPr>
          <w:t>legionel</w:t>
        </w:r>
        <w:proofErr w:type="spellEnd"/>
        <w:r w:rsidR="006E3274">
          <w:rPr>
            <w:rStyle w:val="Krepko"/>
            <w:rFonts w:ascii="Titillium Web" w:hAnsi="Titillium Web" w:cs="Helvetica"/>
            <w:color w:val="15CABF"/>
            <w:u w:val="single"/>
          </w:rPr>
          <w:t xml:space="preserve"> v hišnem vodovodnem omrežju</w:t>
        </w:r>
      </w:hyperlink>
      <w:r w:rsidR="006E3274">
        <w:rPr>
          <w:rFonts w:ascii="Titillium Web" w:hAnsi="Titillium Web" w:cs="Helvetica"/>
          <w:color w:val="888888"/>
        </w:rPr>
        <w:t>.</w:t>
      </w:r>
    </w:p>
    <w:p w:rsidR="006E3274" w:rsidRPr="006E3274" w:rsidRDefault="006E3274" w:rsidP="006E3274">
      <w:pPr>
        <w:spacing w:before="100" w:beforeAutospacing="1" w:after="100" w:afterAutospacing="1" w:line="480" w:lineRule="atLeast"/>
        <w:jc w:val="both"/>
        <w:rPr>
          <w:rFonts w:ascii="Titillium Web" w:hAnsi="Titillium Web" w:cs="Helvetica"/>
          <w:b/>
          <w:color w:val="888888"/>
        </w:rPr>
      </w:pPr>
    </w:p>
    <w:p w:rsidR="006E3274" w:rsidRDefault="006E3274" w:rsidP="006E3274">
      <w:pPr>
        <w:jc w:val="both"/>
        <w:rPr>
          <w:b/>
        </w:rPr>
      </w:pPr>
    </w:p>
    <w:sectPr w:rsidR="006E3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tillium Web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7D49"/>
    <w:multiLevelType w:val="hybridMultilevel"/>
    <w:tmpl w:val="D6DC472C"/>
    <w:lvl w:ilvl="0" w:tplc="04DE361A">
      <w:start w:val="12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3107E"/>
    <w:multiLevelType w:val="multilevel"/>
    <w:tmpl w:val="B5C4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BB4F6A"/>
    <w:multiLevelType w:val="multilevel"/>
    <w:tmpl w:val="CF06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74"/>
    <w:rsid w:val="003D267D"/>
    <w:rsid w:val="003D3F5D"/>
    <w:rsid w:val="006E3274"/>
    <w:rsid w:val="0083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E3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6E3274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6E3274"/>
    <w:pPr>
      <w:spacing w:after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E3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6E3274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6E3274"/>
    <w:pPr>
      <w:spacing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7038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8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03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09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874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8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3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jz.si/sites/www.nijz.si/files/uploaded/kriteriji_za_razglasitev_ukrepa_prekuhavanja_pitne_vode_2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ijz.si/sl/navodila-o-prekuhavanju-vode" TargetMode="External"/><Relationship Id="rId12" Type="http://schemas.openxmlformats.org/officeDocument/2006/relationships/hyperlink" Target="http://www.nijz.si/sl/preprecevanje-razmnozevanja-legionel-v-hisnem-vodovodnem-omrez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jz.si/sl/priporocila-za-ravnanje-pri-oskrbi-s-pitno-vodo-s-cisternami" TargetMode="External"/><Relationship Id="rId11" Type="http://schemas.openxmlformats.org/officeDocument/2006/relationships/hyperlink" Target="http://www.nijz.si/priporocila-lastnikom-objektov-o-ukrepih-za-zmanjsanje-in-odpravo-tveganja-ce-je-vzrok-povisani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ijz.si/priporocila-lastnikom-objektov-o-ukrepih-za-zmanjsanje-in-odpravo-tveganja-ce-je-vzrok-neskladno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jz.si/priporocila-lastnikom-objektov-za-vzdrzevanje-hisnega-vodovodnega-omrezj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Japič</dc:creator>
  <cp:lastModifiedBy>Mario Japič</cp:lastModifiedBy>
  <cp:revision>3</cp:revision>
  <cp:lastPrinted>2016-09-19T09:13:00Z</cp:lastPrinted>
  <dcterms:created xsi:type="dcterms:W3CDTF">2016-09-29T05:39:00Z</dcterms:created>
  <dcterms:modified xsi:type="dcterms:W3CDTF">2016-09-29T09:33:00Z</dcterms:modified>
</cp:coreProperties>
</file>