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8136" w14:textId="0EDA201C" w:rsidR="006364E5" w:rsidRPr="00BC00BF" w:rsidRDefault="00BC00BF" w:rsidP="00BC00BF">
      <w:pPr>
        <w:pStyle w:val="IntenseQuote"/>
        <w:ind w:firstLine="552"/>
        <w:jc w:val="right"/>
        <w:rPr>
          <w:rFonts w:cs="Calibri"/>
          <w:color w:val="auto"/>
          <w:u w:val="single"/>
          <w:lang w:val="sl-SI"/>
        </w:rPr>
      </w:pPr>
      <w:r w:rsidRPr="00BC00BF">
        <w:rPr>
          <w:rFonts w:cs="Calibri"/>
          <w:color w:val="auto"/>
          <w:u w:val="single"/>
          <w:lang w:val="sl-SI"/>
        </w:rPr>
        <w:t>PRILOGA 2</w:t>
      </w:r>
    </w:p>
    <w:p w14:paraId="643A8A0A" w14:textId="77777777" w:rsidR="002D5B3D" w:rsidRPr="00BC00BF" w:rsidRDefault="002D5B3D" w:rsidP="006364E5">
      <w:pPr>
        <w:pStyle w:val="IntenseQuote"/>
        <w:rPr>
          <w:rFonts w:cs="Calibri"/>
          <w:color w:val="auto"/>
          <w:lang w:val="sl-SI"/>
        </w:rPr>
      </w:pPr>
    </w:p>
    <w:p w14:paraId="6F9C9FA1" w14:textId="6C94A92F" w:rsidR="00BD1735" w:rsidRPr="00BC00BF" w:rsidRDefault="00767E88">
      <w:pPr>
        <w:pStyle w:val="Title"/>
        <w:jc w:val="center"/>
        <w:rPr>
          <w:rFonts w:cs="Calibri"/>
          <w:b/>
          <w:color w:val="auto"/>
          <w:lang w:val="sl-SI"/>
        </w:rPr>
      </w:pPr>
      <w:r>
        <w:rPr>
          <w:rFonts w:cs="Calibri"/>
          <w:b/>
          <w:color w:val="auto"/>
          <w:lang w:val="sl-SI"/>
        </w:rPr>
        <w:t>METODOLOGIJA ZA IZRAČUN</w:t>
      </w:r>
      <w:bookmarkStart w:id="0" w:name="_GoBack"/>
      <w:bookmarkEnd w:id="0"/>
      <w:r w:rsidR="006E2D6F" w:rsidRPr="00BC00BF">
        <w:rPr>
          <w:rFonts w:cs="Calibri"/>
          <w:b/>
          <w:color w:val="auto"/>
          <w:lang w:val="sl-SI"/>
        </w:rPr>
        <w:t xml:space="preserve"> PRIHRANKOV</w:t>
      </w:r>
    </w:p>
    <w:p w14:paraId="4B53BAAC" w14:textId="2E95C2A1" w:rsidR="00645E4B" w:rsidRPr="00BC00BF" w:rsidRDefault="00645E4B" w:rsidP="00645E4B">
      <w:pPr>
        <w:pStyle w:val="IntenseQuote"/>
        <w:rPr>
          <w:rFonts w:cs="Calibri"/>
          <w:color w:val="auto"/>
          <w:lang w:val="sl-SI"/>
        </w:rPr>
      </w:pPr>
      <w:r w:rsidRPr="00BC00BF">
        <w:rPr>
          <w:rFonts w:cs="Calibri"/>
          <w:color w:val="auto"/>
          <w:lang w:val="sl-SI"/>
        </w:rPr>
        <w:t>______________________________________________________</w:t>
      </w:r>
    </w:p>
    <w:p w14:paraId="42586A49" w14:textId="77777777" w:rsidR="00645E4B" w:rsidRPr="00BC00BF" w:rsidRDefault="00645E4B" w:rsidP="00645E4B">
      <w:pPr>
        <w:pStyle w:val="IntenseQuote"/>
        <w:rPr>
          <w:rFonts w:cs="Calibri"/>
          <w:color w:val="auto"/>
          <w:lang w:val="sl-SI"/>
        </w:rPr>
      </w:pPr>
    </w:p>
    <w:p w14:paraId="762697C3" w14:textId="77777777" w:rsidR="00BC00BF" w:rsidRPr="00BC00BF" w:rsidRDefault="00BC00BF" w:rsidP="00BC00BF">
      <w:pPr>
        <w:jc w:val="center"/>
        <w:rPr>
          <w:rFonts w:asciiTheme="majorHAnsi" w:hAnsiTheme="majorHAnsi"/>
          <w:sz w:val="32"/>
          <w:szCs w:val="32"/>
        </w:rPr>
      </w:pPr>
      <w:r w:rsidRPr="00BC00BF">
        <w:rPr>
          <w:rFonts w:asciiTheme="majorHAnsi" w:hAnsiTheme="majorHAnsi"/>
          <w:sz w:val="32"/>
          <w:szCs w:val="32"/>
        </w:rPr>
        <w:t xml:space="preserve">RAZPISNA DOKUMENTACIJA ZA FAZO </w:t>
      </w:r>
    </w:p>
    <w:p w14:paraId="419914A4" w14:textId="77777777" w:rsidR="00BC00BF" w:rsidRPr="00BC00BF" w:rsidRDefault="00BC00BF" w:rsidP="00BC00BF">
      <w:pPr>
        <w:jc w:val="center"/>
        <w:rPr>
          <w:rFonts w:asciiTheme="majorHAnsi" w:hAnsiTheme="majorHAnsi"/>
          <w:sz w:val="32"/>
          <w:szCs w:val="32"/>
        </w:rPr>
      </w:pPr>
      <w:r w:rsidRPr="00BC00BF">
        <w:rPr>
          <w:rFonts w:asciiTheme="majorHAnsi" w:hAnsiTheme="majorHAnsi"/>
          <w:sz w:val="32"/>
          <w:szCs w:val="32"/>
        </w:rPr>
        <w:t>KONKURENČNEGA DIALOGA</w:t>
      </w:r>
    </w:p>
    <w:p w14:paraId="783C9781" w14:textId="77777777" w:rsidR="00BC00BF" w:rsidRPr="00BC00BF" w:rsidRDefault="00BC00BF" w:rsidP="00BC00BF">
      <w:pPr>
        <w:jc w:val="center"/>
        <w:rPr>
          <w:rFonts w:asciiTheme="majorHAnsi" w:hAnsiTheme="majorHAnsi"/>
          <w:sz w:val="32"/>
          <w:szCs w:val="32"/>
        </w:rPr>
      </w:pPr>
      <w:r w:rsidRPr="00BC00BF">
        <w:rPr>
          <w:rFonts w:asciiTheme="majorHAnsi" w:hAnsiTheme="majorHAnsi"/>
          <w:sz w:val="32"/>
          <w:szCs w:val="32"/>
        </w:rPr>
        <w:t xml:space="preserve">ZA JAVNI RAZPIS ZA PODELITEV KONCESIJE ZA </w:t>
      </w:r>
    </w:p>
    <w:p w14:paraId="478D2354" w14:textId="77777777" w:rsidR="00BC00BF" w:rsidRPr="00BC00BF" w:rsidRDefault="00BC00BF" w:rsidP="00BC00BF">
      <w:pPr>
        <w:jc w:val="center"/>
        <w:rPr>
          <w:rFonts w:asciiTheme="majorHAnsi" w:hAnsiTheme="majorHAnsi"/>
          <w:sz w:val="32"/>
          <w:szCs w:val="32"/>
        </w:rPr>
      </w:pPr>
      <w:r w:rsidRPr="00BC00BF">
        <w:rPr>
          <w:rFonts w:asciiTheme="majorHAnsi" w:hAnsiTheme="majorHAnsi"/>
          <w:sz w:val="32"/>
          <w:szCs w:val="32"/>
        </w:rPr>
        <w:t xml:space="preserve">IZVEDBO PROJEKTA </w:t>
      </w:r>
    </w:p>
    <w:p w14:paraId="0C9123E9" w14:textId="77777777" w:rsidR="00BC00BF" w:rsidRPr="00BC00BF" w:rsidRDefault="00BC00BF" w:rsidP="00BC00BF">
      <w:pPr>
        <w:rPr>
          <w:rFonts w:asciiTheme="majorHAnsi" w:hAnsiTheme="majorHAnsi"/>
          <w:sz w:val="24"/>
          <w:szCs w:val="24"/>
        </w:rPr>
      </w:pPr>
    </w:p>
    <w:p w14:paraId="6A6009E9" w14:textId="7D5C742F" w:rsidR="00BC00BF" w:rsidRPr="00BC00BF" w:rsidRDefault="00BC00BF" w:rsidP="00BC00BF">
      <w:pPr>
        <w:pStyle w:val="Heading1"/>
        <w:jc w:val="center"/>
        <w:rPr>
          <w:b/>
          <w:color w:val="auto"/>
          <w:sz w:val="48"/>
          <w:szCs w:val="48"/>
          <w:u w:val="single"/>
        </w:rPr>
      </w:pPr>
      <w:bookmarkStart w:id="1" w:name="_Toc485211926"/>
      <w:bookmarkStart w:id="2" w:name="_Toc485213590"/>
      <w:bookmarkStart w:id="3" w:name="_Toc485379781"/>
      <w:bookmarkStart w:id="4" w:name="_Toc485649565"/>
      <w:bookmarkStart w:id="5" w:name="_Toc485716020"/>
      <w:bookmarkStart w:id="6" w:name="_Toc485718391"/>
      <w:bookmarkStart w:id="7" w:name="_Toc486762512"/>
      <w:bookmarkStart w:id="8" w:name="_Toc486947364"/>
      <w:bookmarkStart w:id="9" w:name="_Toc494270751"/>
      <w:bookmarkStart w:id="10" w:name="_Toc494271073"/>
      <w:bookmarkStart w:id="11" w:name="_Toc496000580"/>
      <w:r w:rsidRPr="00BC00BF">
        <w:rPr>
          <w:b/>
          <w:color w:val="auto"/>
          <w:sz w:val="48"/>
          <w:szCs w:val="48"/>
          <w:u w:val="single"/>
        </w:rPr>
        <w:t>»</w:t>
      </w:r>
      <w:r w:rsidR="008946B5">
        <w:rPr>
          <w:b/>
          <w:color w:val="auto"/>
          <w:sz w:val="48"/>
          <w:szCs w:val="48"/>
          <w:u w:val="single"/>
        </w:rPr>
        <w:t>CELOVITA ENERGETSKA PRENOVA JAVNIH OBJEKTOV V LASTI OBČIN DORNAVA, KIDRIČEVO, POLJČANE, SVETA TROJICA V SLOVENSKIH GORICAH IN TRNOVSKA VAS</w:t>
      </w:r>
      <w:r w:rsidRPr="00BC00BF">
        <w:rPr>
          <w:b/>
          <w:color w:val="auto"/>
          <w:sz w:val="48"/>
          <w:szCs w:val="48"/>
          <w:u w:val="single"/>
        </w:rPr>
        <w:t>«</w:t>
      </w:r>
      <w:bookmarkEnd w:id="1"/>
      <w:bookmarkEnd w:id="2"/>
      <w:bookmarkEnd w:id="3"/>
      <w:bookmarkEnd w:id="4"/>
      <w:bookmarkEnd w:id="5"/>
      <w:bookmarkEnd w:id="6"/>
      <w:bookmarkEnd w:id="7"/>
      <w:bookmarkEnd w:id="8"/>
      <w:bookmarkEnd w:id="9"/>
      <w:bookmarkEnd w:id="10"/>
      <w:bookmarkEnd w:id="11"/>
    </w:p>
    <w:p w14:paraId="31083465" w14:textId="77777777" w:rsidR="00BC00BF" w:rsidRDefault="00BC00BF" w:rsidP="00BC00BF">
      <w:pPr>
        <w:rPr>
          <w:rFonts w:asciiTheme="majorHAnsi" w:hAnsiTheme="majorHAnsi"/>
          <w:sz w:val="24"/>
          <w:szCs w:val="24"/>
          <w:lang w:val="sl-SI"/>
        </w:rPr>
      </w:pPr>
    </w:p>
    <w:p w14:paraId="5EE23319" w14:textId="77777777" w:rsidR="008946B5" w:rsidRDefault="008946B5" w:rsidP="00BC00BF">
      <w:pPr>
        <w:rPr>
          <w:rFonts w:asciiTheme="majorHAnsi" w:hAnsiTheme="majorHAnsi"/>
          <w:sz w:val="24"/>
          <w:szCs w:val="24"/>
          <w:lang w:val="sl-SI"/>
        </w:rPr>
      </w:pPr>
    </w:p>
    <w:p w14:paraId="26CF2205" w14:textId="77777777" w:rsidR="008946B5" w:rsidRDefault="008946B5" w:rsidP="00BC00BF">
      <w:pPr>
        <w:rPr>
          <w:rFonts w:asciiTheme="majorHAnsi" w:hAnsiTheme="majorHAnsi"/>
          <w:sz w:val="24"/>
          <w:szCs w:val="24"/>
          <w:lang w:val="sl-SI"/>
        </w:rPr>
      </w:pPr>
    </w:p>
    <w:p w14:paraId="7358EEC8" w14:textId="77777777" w:rsidR="008946B5" w:rsidRPr="00BC00BF" w:rsidRDefault="008946B5" w:rsidP="00BC00BF">
      <w:pPr>
        <w:rPr>
          <w:rFonts w:asciiTheme="majorHAnsi" w:hAnsiTheme="majorHAnsi"/>
          <w:sz w:val="24"/>
          <w:szCs w:val="24"/>
          <w:lang w:val="sl-SI"/>
        </w:rPr>
      </w:pPr>
    </w:p>
    <w:p w14:paraId="05865D9F" w14:textId="483D0438" w:rsidR="00645E4B" w:rsidRPr="00BC00BF" w:rsidRDefault="00BC00BF" w:rsidP="00BC00BF">
      <w:pPr>
        <w:jc w:val="center"/>
        <w:rPr>
          <w:rFonts w:asciiTheme="majorHAnsi" w:hAnsiTheme="majorHAnsi" w:cstheme="majorBidi"/>
          <w:u w:val="single"/>
        </w:rPr>
      </w:pPr>
      <w:r w:rsidRPr="00BC00BF">
        <w:rPr>
          <w:rFonts w:asciiTheme="majorHAnsi" w:hAnsiTheme="majorHAnsi"/>
          <w:lang w:val="sl-SI"/>
        </w:rPr>
        <w:t>Oktober 2017</w:t>
      </w:r>
      <w:r w:rsidR="00645E4B" w:rsidRPr="00BC00BF">
        <w:rPr>
          <w:rFonts w:asciiTheme="majorHAnsi" w:hAnsiTheme="majorHAnsi"/>
          <w:lang w:val="sl-SI"/>
        </w:rPr>
        <w:br w:type="page"/>
      </w:r>
    </w:p>
    <w:p w14:paraId="0EC23F02" w14:textId="5E64A0B5" w:rsidR="007A1B19" w:rsidRPr="00BC00BF" w:rsidRDefault="00BC00BF" w:rsidP="00BC00BF">
      <w:pPr>
        <w:pStyle w:val="Heading1"/>
      </w:pPr>
      <w:r>
        <w:lastRenderedPageBreak/>
        <w:t xml:space="preserve">1 </w:t>
      </w:r>
      <w:r w:rsidR="006E2D6F" w:rsidRPr="00BC00BF">
        <w:t>SPLOŠNO</w:t>
      </w:r>
    </w:p>
    <w:p w14:paraId="19B35428" w14:textId="77777777" w:rsidR="00CF4503" w:rsidRPr="00BC00BF" w:rsidRDefault="00CF4503" w:rsidP="0053031C">
      <w:pPr>
        <w:rPr>
          <w:rFonts w:asciiTheme="majorHAnsi" w:hAnsiTheme="majorHAnsi" w:cs="Calibri"/>
          <w:sz w:val="24"/>
          <w:szCs w:val="24"/>
          <w:lang w:val="sl-SI"/>
        </w:rPr>
      </w:pPr>
    </w:p>
    <w:p w14:paraId="4CF7E394" w14:textId="73BB726B" w:rsidR="006E2D6F" w:rsidRPr="00BC00BF" w:rsidRDefault="006E2D6F" w:rsidP="0053031C">
      <w:pPr>
        <w:rPr>
          <w:rFonts w:asciiTheme="majorHAnsi" w:hAnsiTheme="majorHAnsi" w:cs="Calibri"/>
          <w:sz w:val="24"/>
          <w:szCs w:val="24"/>
          <w:lang w:val="sl-SI"/>
        </w:rPr>
      </w:pPr>
      <w:r w:rsidRPr="00BC00BF">
        <w:rPr>
          <w:rFonts w:asciiTheme="majorHAnsi" w:hAnsiTheme="majorHAnsi" w:cs="Calibri"/>
          <w:sz w:val="24"/>
          <w:szCs w:val="24"/>
          <w:lang w:val="sl-SI"/>
        </w:rPr>
        <w:t xml:space="preserve">Predmetni dokument določa </w:t>
      </w:r>
      <w:r w:rsidR="00BC00BF" w:rsidRPr="00BC00BF">
        <w:rPr>
          <w:rFonts w:asciiTheme="majorHAnsi" w:hAnsiTheme="majorHAnsi" w:cs="Calibri"/>
          <w:sz w:val="24"/>
          <w:szCs w:val="24"/>
          <w:lang w:val="sl-SI"/>
        </w:rPr>
        <w:t>način</w:t>
      </w:r>
      <w:r w:rsidRPr="00BC00BF">
        <w:rPr>
          <w:rFonts w:asciiTheme="majorHAnsi" w:hAnsiTheme="majorHAnsi" w:cs="Calibri"/>
          <w:sz w:val="24"/>
          <w:szCs w:val="24"/>
          <w:lang w:val="sl-SI"/>
        </w:rPr>
        <w:t xml:space="preserve"> izračun</w:t>
      </w:r>
      <w:r w:rsidR="00BC00BF" w:rsidRPr="00BC00BF">
        <w:rPr>
          <w:rFonts w:asciiTheme="majorHAnsi" w:hAnsiTheme="majorHAnsi" w:cs="Calibri"/>
          <w:sz w:val="24"/>
          <w:szCs w:val="24"/>
          <w:lang w:val="sl-SI"/>
        </w:rPr>
        <w:t>a</w:t>
      </w:r>
      <w:r w:rsidRPr="00BC00BF">
        <w:rPr>
          <w:rFonts w:asciiTheme="majorHAnsi" w:hAnsiTheme="majorHAnsi" w:cs="Calibri"/>
          <w:sz w:val="24"/>
          <w:szCs w:val="24"/>
          <w:lang w:val="sl-SI"/>
        </w:rPr>
        <w:t xml:space="preserve"> prihrankov</w:t>
      </w:r>
      <w:r w:rsidR="00BC00BF" w:rsidRPr="00BC00BF">
        <w:rPr>
          <w:rFonts w:asciiTheme="majorHAnsi" w:hAnsiTheme="majorHAnsi" w:cs="Calibri"/>
          <w:sz w:val="24"/>
          <w:szCs w:val="24"/>
          <w:lang w:val="sl-SI"/>
        </w:rPr>
        <w:t xml:space="preserve"> energije</w:t>
      </w:r>
      <w:r w:rsidRPr="00BC00BF">
        <w:rPr>
          <w:rFonts w:asciiTheme="majorHAnsi" w:hAnsiTheme="majorHAnsi" w:cs="Calibri"/>
          <w:sz w:val="24"/>
          <w:szCs w:val="24"/>
          <w:lang w:val="sl-SI"/>
        </w:rPr>
        <w:t>.</w:t>
      </w:r>
    </w:p>
    <w:p w14:paraId="7684AFB4" w14:textId="219782DC" w:rsidR="00C03552" w:rsidRPr="00BC00BF" w:rsidRDefault="00C03552" w:rsidP="0053031C">
      <w:pPr>
        <w:rPr>
          <w:rFonts w:asciiTheme="majorHAnsi" w:hAnsiTheme="majorHAnsi" w:cs="Calibri"/>
          <w:sz w:val="24"/>
          <w:szCs w:val="24"/>
          <w:lang w:val="sl-SI"/>
        </w:rPr>
      </w:pPr>
    </w:p>
    <w:p w14:paraId="720BB23E" w14:textId="55761A44" w:rsidR="00C03552" w:rsidRPr="00BC00BF" w:rsidRDefault="00BC00BF" w:rsidP="00BC00BF">
      <w:pPr>
        <w:pStyle w:val="Heading1"/>
      </w:pPr>
      <w:r>
        <w:t xml:space="preserve">2 </w:t>
      </w:r>
      <w:r w:rsidR="00C03552" w:rsidRPr="00BC00BF">
        <w:t>DEFINICIJE OSNOVNIH POJMOV</w:t>
      </w:r>
    </w:p>
    <w:p w14:paraId="09573013" w14:textId="77777777" w:rsidR="00CF4503" w:rsidRPr="00BC00BF" w:rsidRDefault="00CF4503" w:rsidP="00C03552">
      <w:pPr>
        <w:spacing w:line="240" w:lineRule="auto"/>
        <w:jc w:val="both"/>
        <w:rPr>
          <w:rFonts w:asciiTheme="majorHAnsi" w:eastAsia="Times New Roman" w:hAnsiTheme="majorHAnsi" w:cs="Calibri"/>
          <w:sz w:val="24"/>
          <w:szCs w:val="24"/>
          <w:lang w:val="sl-SI" w:eastAsia="sl-SI"/>
        </w:rPr>
      </w:pPr>
    </w:p>
    <w:p w14:paraId="45C1DC26" w14:textId="11C42B13" w:rsidR="00C03552" w:rsidRPr="00BC00BF" w:rsidRDefault="00C03552" w:rsidP="00C03552">
      <w:p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Dovedena energija je energija vhodnih energentov porabljenih za pretvorbo v koristno energijo</w:t>
      </w:r>
      <w:r w:rsidR="00BC00BF" w:rsidRPr="00BC00BF">
        <w:rPr>
          <w:rFonts w:asciiTheme="majorHAnsi" w:eastAsia="Times New Roman" w:hAnsiTheme="majorHAnsi" w:cs="Calibri"/>
          <w:sz w:val="24"/>
          <w:szCs w:val="24"/>
          <w:lang w:val="sl-SI" w:eastAsia="sl-SI"/>
        </w:rPr>
        <w:t>.</w:t>
      </w:r>
      <w:r w:rsidRPr="00BC00BF">
        <w:rPr>
          <w:rFonts w:asciiTheme="majorHAnsi" w:eastAsia="Times New Roman" w:hAnsiTheme="majorHAnsi" w:cs="Calibri"/>
          <w:sz w:val="24"/>
          <w:szCs w:val="24"/>
          <w:lang w:val="sl-SI" w:eastAsia="sl-SI"/>
        </w:rPr>
        <w:t xml:space="preserve">  </w:t>
      </w:r>
    </w:p>
    <w:p w14:paraId="39277FBD" w14:textId="1BC3A91A" w:rsidR="00C03552" w:rsidRPr="00BC00BF" w:rsidRDefault="00BC00BF" w:rsidP="00C03552">
      <w:p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Vhodni energenti v objekt</w:t>
      </w:r>
      <w:r w:rsidR="00C03552" w:rsidRPr="00BC00BF">
        <w:rPr>
          <w:rFonts w:asciiTheme="majorHAnsi" w:eastAsia="Times New Roman" w:hAnsiTheme="majorHAnsi" w:cs="Calibri"/>
          <w:sz w:val="24"/>
          <w:szCs w:val="24"/>
          <w:lang w:val="sl-SI" w:eastAsia="sl-SI"/>
        </w:rPr>
        <w:t xml:space="preserve"> so:</w:t>
      </w:r>
    </w:p>
    <w:p w14:paraId="3B5C38A6"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zemeljski plin, </w:t>
      </w:r>
    </w:p>
    <w:p w14:paraId="5BF5FA9D"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utekočinjeni naftni plin,</w:t>
      </w:r>
    </w:p>
    <w:p w14:paraId="069C4FBA"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biomasa,</w:t>
      </w:r>
    </w:p>
    <w:p w14:paraId="35AB3B42"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ekstra lahko kurilno olje, </w:t>
      </w:r>
    </w:p>
    <w:p w14:paraId="050D1EA8"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električna energija,</w:t>
      </w:r>
    </w:p>
    <w:p w14:paraId="635DD80A"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toplota iz omrežja daljinskega ogrevanja ter, </w:t>
      </w:r>
    </w:p>
    <w:p w14:paraId="4C83F7AE" w14:textId="1890129F" w:rsidR="00C03552" w:rsidRPr="00BC00BF" w:rsidRDefault="00C03552" w:rsidP="0053031C">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toplota, ki se dobavlja na način pogodbene oskrbe z energijo. </w:t>
      </w:r>
    </w:p>
    <w:p w14:paraId="5CE272EA" w14:textId="2EDA8CBA" w:rsidR="006E2D6F" w:rsidRPr="00BC00BF" w:rsidRDefault="00BC00BF" w:rsidP="00BC00BF">
      <w:pPr>
        <w:pStyle w:val="Heading1"/>
      </w:pPr>
      <w:r>
        <w:t xml:space="preserve">3 </w:t>
      </w:r>
      <w:r w:rsidR="006E2D6F" w:rsidRPr="00BC00BF">
        <w:t>VHODNI PODATKI</w:t>
      </w:r>
    </w:p>
    <w:p w14:paraId="79473281" w14:textId="77777777" w:rsidR="00CF4503" w:rsidRPr="00BC00BF" w:rsidRDefault="00CF4503" w:rsidP="0053031C">
      <w:pPr>
        <w:jc w:val="both"/>
        <w:rPr>
          <w:rFonts w:asciiTheme="majorHAnsi" w:hAnsiTheme="majorHAnsi" w:cs="Calibri"/>
          <w:sz w:val="24"/>
          <w:szCs w:val="24"/>
          <w:lang w:val="sl-SI"/>
        </w:rPr>
      </w:pPr>
    </w:p>
    <w:p w14:paraId="765F6627" w14:textId="1155963D" w:rsidR="006E2D6F" w:rsidRPr="00BC00BF" w:rsidRDefault="006E2D6F" w:rsidP="0053031C">
      <w:pPr>
        <w:jc w:val="both"/>
        <w:rPr>
          <w:rFonts w:asciiTheme="majorHAnsi" w:hAnsiTheme="majorHAnsi" w:cs="Calibri"/>
          <w:sz w:val="24"/>
          <w:szCs w:val="24"/>
          <w:lang w:val="sl-SI"/>
        </w:rPr>
      </w:pPr>
      <w:r w:rsidRPr="00BC00BF">
        <w:rPr>
          <w:rFonts w:asciiTheme="majorHAnsi" w:hAnsiTheme="majorHAnsi" w:cs="Calibri"/>
          <w:sz w:val="24"/>
          <w:szCs w:val="24"/>
          <w:lang w:val="sl-SI"/>
        </w:rPr>
        <w:t>Vhodni podatki (seznam objektov, referenčne količine,</w:t>
      </w:r>
      <w:r w:rsidR="00474470" w:rsidRPr="00BC00BF">
        <w:rPr>
          <w:rFonts w:asciiTheme="majorHAnsi" w:hAnsiTheme="majorHAnsi" w:cs="Calibri"/>
          <w:sz w:val="24"/>
          <w:szCs w:val="24"/>
          <w:lang w:val="sl-SI"/>
        </w:rPr>
        <w:t xml:space="preserve"> cene</w:t>
      </w:r>
      <w:r w:rsidRPr="00BC00BF">
        <w:rPr>
          <w:rFonts w:asciiTheme="majorHAnsi" w:hAnsiTheme="majorHAnsi" w:cs="Calibri"/>
          <w:sz w:val="24"/>
          <w:szCs w:val="24"/>
          <w:lang w:val="sl-SI"/>
        </w:rPr>
        <w:t xml:space="preserve"> itd.) so razvidni iz </w:t>
      </w:r>
      <w:r w:rsidR="003D4AD6" w:rsidRPr="00BC00BF">
        <w:rPr>
          <w:rFonts w:asciiTheme="majorHAnsi" w:hAnsiTheme="majorHAnsi" w:cs="Calibri"/>
          <w:sz w:val="24"/>
          <w:szCs w:val="24"/>
          <w:lang w:val="sl-SI"/>
        </w:rPr>
        <w:t>P</w:t>
      </w:r>
      <w:r w:rsidRPr="00BC00BF">
        <w:rPr>
          <w:rFonts w:asciiTheme="majorHAnsi" w:hAnsiTheme="majorHAnsi" w:cs="Calibri"/>
          <w:sz w:val="24"/>
          <w:szCs w:val="24"/>
          <w:lang w:val="sl-SI"/>
        </w:rPr>
        <w:t>riloge</w:t>
      </w:r>
      <w:r w:rsidR="00474470" w:rsidRPr="00BC00BF">
        <w:rPr>
          <w:rFonts w:asciiTheme="majorHAnsi" w:hAnsiTheme="majorHAnsi" w:cs="Calibri"/>
          <w:sz w:val="24"/>
          <w:szCs w:val="24"/>
          <w:lang w:val="sl-SI"/>
        </w:rPr>
        <w:t xml:space="preserve"> </w:t>
      </w:r>
      <w:r w:rsidR="00981041" w:rsidRPr="00BC00BF">
        <w:rPr>
          <w:rFonts w:asciiTheme="majorHAnsi" w:hAnsiTheme="majorHAnsi" w:cs="Calibri"/>
          <w:sz w:val="24"/>
          <w:szCs w:val="24"/>
          <w:lang w:val="sl-SI"/>
        </w:rPr>
        <w:t>1</w:t>
      </w:r>
      <w:r w:rsidR="00C8076A" w:rsidRPr="00BC00BF">
        <w:rPr>
          <w:rFonts w:asciiTheme="majorHAnsi" w:hAnsiTheme="majorHAnsi" w:cs="Calibri"/>
          <w:sz w:val="24"/>
          <w:szCs w:val="24"/>
          <w:lang w:val="sl-SI"/>
        </w:rPr>
        <w:t xml:space="preserve"> -</w:t>
      </w:r>
      <w:r w:rsidR="0051271A" w:rsidRPr="00BC00BF">
        <w:rPr>
          <w:rFonts w:asciiTheme="majorHAnsi" w:hAnsiTheme="majorHAnsi" w:cs="Calibri"/>
          <w:sz w:val="24"/>
          <w:szCs w:val="24"/>
          <w:lang w:val="sl-SI"/>
        </w:rPr>
        <w:t xml:space="preserve"> »</w:t>
      </w:r>
      <w:bookmarkStart w:id="12" w:name="_Hlk495658143"/>
      <w:r w:rsidR="0051271A" w:rsidRPr="00BC00BF">
        <w:rPr>
          <w:rFonts w:asciiTheme="majorHAnsi" w:hAnsiTheme="majorHAnsi" w:cs="Calibri"/>
          <w:sz w:val="24"/>
          <w:szCs w:val="24"/>
          <w:lang w:val="sl-SI"/>
        </w:rPr>
        <w:t>Program izvajanja koncesije</w:t>
      </w:r>
      <w:bookmarkEnd w:id="12"/>
      <w:r w:rsidR="00CB2D56" w:rsidRPr="00BC00BF">
        <w:rPr>
          <w:rFonts w:asciiTheme="majorHAnsi" w:hAnsiTheme="majorHAnsi" w:cs="Calibri"/>
          <w:sz w:val="24"/>
          <w:szCs w:val="24"/>
          <w:lang w:val="sl-SI"/>
        </w:rPr>
        <w:t>«</w:t>
      </w:r>
      <w:r w:rsidRPr="00BC00BF">
        <w:rPr>
          <w:rFonts w:asciiTheme="majorHAnsi" w:hAnsiTheme="majorHAnsi" w:cs="Calibri"/>
          <w:sz w:val="24"/>
          <w:szCs w:val="24"/>
          <w:lang w:val="sl-SI"/>
        </w:rPr>
        <w:t xml:space="preserve">, kjer se bodo izvajali ukrepi za </w:t>
      </w:r>
      <w:r w:rsidR="00BC00BF" w:rsidRPr="00BC00BF">
        <w:rPr>
          <w:rFonts w:asciiTheme="majorHAnsi" w:hAnsiTheme="majorHAnsi" w:cs="Calibri"/>
          <w:sz w:val="24"/>
          <w:szCs w:val="24"/>
          <w:lang w:val="sl-SI"/>
        </w:rPr>
        <w:t xml:space="preserve">vzpostavitev in upravljanje sistema ogrevanja ter izboljšanje energetske učinkovitosti in </w:t>
      </w:r>
      <w:r w:rsidRPr="00BC00BF">
        <w:rPr>
          <w:rFonts w:asciiTheme="majorHAnsi" w:hAnsiTheme="majorHAnsi" w:cs="Calibri"/>
          <w:sz w:val="24"/>
          <w:szCs w:val="24"/>
          <w:lang w:val="sl-SI"/>
        </w:rPr>
        <w:t>zagotavljanje prihrankov energije, s pripadajočimi podatki o referenčnih količinah in pogojih uporabe.</w:t>
      </w:r>
    </w:p>
    <w:p w14:paraId="25AD18E5" w14:textId="1B714D65" w:rsidR="00C03552" w:rsidRPr="00BC00BF" w:rsidRDefault="00BC00BF" w:rsidP="00BC00BF">
      <w:pPr>
        <w:pStyle w:val="Heading1"/>
      </w:pPr>
      <w:r>
        <w:t xml:space="preserve">4 </w:t>
      </w:r>
      <w:r w:rsidR="00C03552" w:rsidRPr="00BC00BF">
        <w:t>REFENČNA RABA ENERGIJE, STROŠKI, CENE IN OBDOBJA</w:t>
      </w:r>
    </w:p>
    <w:p w14:paraId="475D0164" w14:textId="77777777" w:rsidR="00CF4503" w:rsidRPr="00BC00BF" w:rsidRDefault="00CF4503" w:rsidP="00C03552">
      <w:pPr>
        <w:spacing w:line="240" w:lineRule="auto"/>
        <w:jc w:val="both"/>
        <w:rPr>
          <w:rFonts w:asciiTheme="majorHAnsi" w:eastAsia="Times New Roman" w:hAnsiTheme="majorHAnsi" w:cs="Calibri"/>
          <w:sz w:val="24"/>
          <w:szCs w:val="24"/>
          <w:lang w:val="sl-SI" w:eastAsia="sl-SI"/>
        </w:rPr>
      </w:pPr>
    </w:p>
    <w:p w14:paraId="4535A3A1" w14:textId="1A62477B" w:rsidR="00C03552" w:rsidRPr="00BC00BF" w:rsidRDefault="00C03552" w:rsidP="00C03552">
      <w:p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u w:val="single"/>
          <w:lang w:val="sl-SI" w:eastAsia="sl-SI"/>
        </w:rPr>
        <w:t>Referenčna raba energije</w:t>
      </w:r>
      <w:r w:rsidRPr="00BC00BF">
        <w:rPr>
          <w:rFonts w:asciiTheme="majorHAnsi" w:eastAsia="Times New Roman" w:hAnsiTheme="majorHAnsi" w:cs="Calibri"/>
          <w:sz w:val="24"/>
          <w:szCs w:val="24"/>
          <w:lang w:val="sl-SI" w:eastAsia="sl-SI"/>
        </w:rPr>
        <w:t xml:space="preserve"> je raba energije porabljene v dogovorjenem referenčnem obdobju.</w:t>
      </w:r>
    </w:p>
    <w:p w14:paraId="35D33FA4"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043D3C7D" w14:textId="01935C22"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u w:val="single"/>
          <w:lang w:val="sl-SI" w:eastAsia="sl-SI"/>
        </w:rPr>
        <w:t>Poraba energenta</w:t>
      </w:r>
      <w:r w:rsidRPr="00BC00BF">
        <w:rPr>
          <w:rFonts w:asciiTheme="majorHAnsi" w:eastAsia="Times New Roman" w:hAnsiTheme="majorHAnsi" w:cs="Calibri"/>
          <w:sz w:val="24"/>
          <w:szCs w:val="24"/>
          <w:lang w:val="sl-SI" w:eastAsia="sl-SI"/>
        </w:rPr>
        <w:t xml:space="preserve"> je vsota mesečne porabe tega energenta v referenčnem obdobju na podlagi izdanih računov (npr. električna energija v kWh, zemeljski plin v Sm</w:t>
      </w:r>
      <w:r w:rsidRPr="00BC00BF">
        <w:rPr>
          <w:rFonts w:asciiTheme="majorHAnsi" w:eastAsia="Times New Roman" w:hAnsiTheme="majorHAnsi" w:cs="Calibri"/>
          <w:sz w:val="24"/>
          <w:szCs w:val="24"/>
          <w:vertAlign w:val="superscript"/>
          <w:lang w:val="sl-SI" w:eastAsia="sl-SI"/>
        </w:rPr>
        <w:t>3</w:t>
      </w:r>
      <w:r w:rsidRPr="00BC00BF">
        <w:rPr>
          <w:rFonts w:asciiTheme="majorHAnsi" w:eastAsia="Times New Roman" w:hAnsiTheme="majorHAnsi" w:cs="Calibri"/>
          <w:sz w:val="24"/>
          <w:szCs w:val="24"/>
          <w:lang w:val="sl-SI" w:eastAsia="sl-SI"/>
        </w:rPr>
        <w:t xml:space="preserve">, UNP v l, toplota iz DO v kWh itn.). </w:t>
      </w:r>
    </w:p>
    <w:p w14:paraId="3C464CF2"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7002A8F7" w14:textId="77777777" w:rsidR="00C03552"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Poraba energentov se preračuna v energijo (v kWh) tako, da se porabo energenta v merski enoti energenta pomnoži s kurilno vrednostjo v skladu s spodnjo tabelo:</w:t>
      </w:r>
    </w:p>
    <w:p w14:paraId="6E9E257A" w14:textId="77777777" w:rsidR="00BC00BF" w:rsidRPr="00BC00BF" w:rsidRDefault="00BC00BF" w:rsidP="00C03552">
      <w:pPr>
        <w:spacing w:after="0" w:line="240" w:lineRule="auto"/>
        <w:jc w:val="both"/>
        <w:rPr>
          <w:rFonts w:asciiTheme="majorHAnsi" w:eastAsia="Times New Roman" w:hAnsiTheme="majorHAnsi" w:cs="Calibri"/>
          <w:i/>
          <w:sz w:val="24"/>
          <w:szCs w:val="24"/>
          <w:lang w:val="sl-SI" w:eastAsia="sl-SI"/>
        </w:rPr>
      </w:pPr>
    </w:p>
    <w:p w14:paraId="297E3B0D"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Tabela 1: Kurilna vrednost glede na energent</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3"/>
        <w:gridCol w:w="3756"/>
        <w:gridCol w:w="2056"/>
        <w:gridCol w:w="2410"/>
      </w:tblGrid>
      <w:tr w:rsidR="00C03552" w:rsidRPr="00BC00BF" w14:paraId="0E11305B" w14:textId="77777777" w:rsidTr="00630F14">
        <w:trPr>
          <w:trHeight w:val="300"/>
        </w:trPr>
        <w:tc>
          <w:tcPr>
            <w:tcW w:w="1077" w:type="dxa"/>
            <w:vMerge w:val="restart"/>
            <w:shd w:val="clear" w:color="000000" w:fill="FFFFFF"/>
            <w:noWrap/>
            <w:vAlign w:val="center"/>
            <w:hideMark/>
          </w:tcPr>
          <w:p w14:paraId="6AAC36B0" w14:textId="77777777" w:rsidR="00C03552" w:rsidRPr="00BC00BF" w:rsidRDefault="00C03552" w:rsidP="00630F14">
            <w:pPr>
              <w:spacing w:after="0" w:line="240" w:lineRule="auto"/>
              <w:jc w:val="center"/>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Tip energenta</w:t>
            </w:r>
          </w:p>
        </w:tc>
        <w:tc>
          <w:tcPr>
            <w:tcW w:w="3756" w:type="dxa"/>
            <w:shd w:val="clear" w:color="000000" w:fill="D9D9D9"/>
            <w:noWrap/>
            <w:vAlign w:val="center"/>
            <w:hideMark/>
          </w:tcPr>
          <w:p w14:paraId="6BBAFD63" w14:textId="77777777" w:rsidR="00C03552" w:rsidRPr="00BC00BF" w:rsidRDefault="00C03552" w:rsidP="00630F14">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Vhodni energent</w:t>
            </w:r>
          </w:p>
        </w:tc>
        <w:tc>
          <w:tcPr>
            <w:tcW w:w="2056" w:type="dxa"/>
            <w:shd w:val="clear" w:color="000000" w:fill="D8D8D8"/>
            <w:noWrap/>
            <w:vAlign w:val="center"/>
            <w:hideMark/>
          </w:tcPr>
          <w:p w14:paraId="7F97BE0A"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Merska enota</w:t>
            </w:r>
          </w:p>
        </w:tc>
        <w:tc>
          <w:tcPr>
            <w:tcW w:w="2410" w:type="dxa"/>
            <w:shd w:val="clear" w:color="000000" w:fill="D8D8D8"/>
            <w:noWrap/>
            <w:vAlign w:val="center"/>
            <w:hideMark/>
          </w:tcPr>
          <w:p w14:paraId="7B62883B"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Kurilna vrednost</w:t>
            </w:r>
          </w:p>
        </w:tc>
      </w:tr>
      <w:tr w:rsidR="00C03552" w:rsidRPr="00BC00BF" w14:paraId="06FD195E" w14:textId="77777777" w:rsidTr="00630F14">
        <w:trPr>
          <w:trHeight w:val="300"/>
        </w:trPr>
        <w:tc>
          <w:tcPr>
            <w:tcW w:w="1077" w:type="dxa"/>
            <w:vMerge/>
            <w:shd w:val="clear" w:color="000000" w:fill="FFFFFF"/>
            <w:noWrap/>
            <w:vAlign w:val="center"/>
            <w:hideMark/>
          </w:tcPr>
          <w:p w14:paraId="4478BC58" w14:textId="77777777" w:rsidR="00C03552" w:rsidRPr="00BC00BF" w:rsidRDefault="00C03552" w:rsidP="00630F14">
            <w:pPr>
              <w:spacing w:after="0" w:line="240" w:lineRule="auto"/>
              <w:jc w:val="center"/>
              <w:rPr>
                <w:rFonts w:asciiTheme="majorHAnsi" w:eastAsia="Times New Roman" w:hAnsiTheme="majorHAnsi" w:cs="Calibri"/>
                <w:i/>
                <w:sz w:val="22"/>
                <w:szCs w:val="22"/>
                <w:lang w:val="sl-SI" w:eastAsia="sl-SI"/>
              </w:rPr>
            </w:pPr>
          </w:p>
        </w:tc>
        <w:tc>
          <w:tcPr>
            <w:tcW w:w="3756" w:type="dxa"/>
            <w:shd w:val="clear" w:color="000000" w:fill="FFFFFF"/>
            <w:noWrap/>
            <w:vAlign w:val="center"/>
            <w:hideMark/>
          </w:tcPr>
          <w:p w14:paraId="66DE5907"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Ekstra lahko kurilno olje (ELKO)</w:t>
            </w:r>
          </w:p>
        </w:tc>
        <w:tc>
          <w:tcPr>
            <w:tcW w:w="2056" w:type="dxa"/>
            <w:shd w:val="clear" w:color="000000" w:fill="FFFFFF"/>
            <w:noWrap/>
            <w:vAlign w:val="center"/>
            <w:hideMark/>
          </w:tcPr>
          <w:p w14:paraId="7B0A524F"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l (liter)</w:t>
            </w:r>
          </w:p>
        </w:tc>
        <w:tc>
          <w:tcPr>
            <w:tcW w:w="2410" w:type="dxa"/>
            <w:shd w:val="clear" w:color="000000" w:fill="FFFFFF"/>
            <w:noWrap/>
            <w:vAlign w:val="center"/>
            <w:hideMark/>
          </w:tcPr>
          <w:p w14:paraId="560488B3"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10,17 [kWh/l]</w:t>
            </w:r>
          </w:p>
        </w:tc>
      </w:tr>
      <w:tr w:rsidR="00C03552" w:rsidRPr="00BC00BF" w14:paraId="35D6FCEA" w14:textId="77777777" w:rsidTr="00630F14">
        <w:trPr>
          <w:trHeight w:val="300"/>
        </w:trPr>
        <w:tc>
          <w:tcPr>
            <w:tcW w:w="1077" w:type="dxa"/>
            <w:vMerge/>
            <w:vAlign w:val="center"/>
            <w:hideMark/>
          </w:tcPr>
          <w:p w14:paraId="36C2D290" w14:textId="77777777" w:rsidR="00C03552" w:rsidRPr="00BC00BF" w:rsidRDefault="00C03552" w:rsidP="00630F14">
            <w:pPr>
              <w:spacing w:after="0" w:line="240" w:lineRule="auto"/>
              <w:jc w:val="both"/>
              <w:rPr>
                <w:rFonts w:asciiTheme="majorHAnsi" w:eastAsia="Times New Roman" w:hAnsiTheme="majorHAnsi" w:cs="Calibri"/>
                <w:sz w:val="22"/>
                <w:szCs w:val="22"/>
                <w:lang w:val="sl-SI" w:eastAsia="sl-SI"/>
              </w:rPr>
            </w:pPr>
          </w:p>
        </w:tc>
        <w:tc>
          <w:tcPr>
            <w:tcW w:w="3756" w:type="dxa"/>
            <w:shd w:val="clear" w:color="000000" w:fill="FFFFFF"/>
            <w:noWrap/>
            <w:vAlign w:val="center"/>
            <w:hideMark/>
          </w:tcPr>
          <w:p w14:paraId="6B14A69E"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Zemeljski plin</w:t>
            </w:r>
          </w:p>
        </w:tc>
        <w:tc>
          <w:tcPr>
            <w:tcW w:w="2056" w:type="dxa"/>
            <w:shd w:val="clear" w:color="000000" w:fill="FFFFFF"/>
            <w:noWrap/>
            <w:vAlign w:val="center"/>
            <w:hideMark/>
          </w:tcPr>
          <w:p w14:paraId="1248E01B"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Sm</w:t>
            </w:r>
            <w:r w:rsidRPr="00BC00BF">
              <w:rPr>
                <w:rFonts w:asciiTheme="majorHAnsi" w:eastAsia="Times New Roman" w:hAnsiTheme="majorHAnsi" w:cs="Calibri"/>
                <w:sz w:val="24"/>
                <w:szCs w:val="24"/>
                <w:vertAlign w:val="superscript"/>
                <w:lang w:val="sl-SI" w:eastAsia="sl-SI"/>
              </w:rPr>
              <w:t>3</w:t>
            </w:r>
          </w:p>
        </w:tc>
        <w:tc>
          <w:tcPr>
            <w:tcW w:w="2410" w:type="dxa"/>
            <w:shd w:val="clear" w:color="000000" w:fill="FFFFFF"/>
            <w:noWrap/>
            <w:vAlign w:val="center"/>
            <w:hideMark/>
          </w:tcPr>
          <w:p w14:paraId="10CA2415"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9,5 [kWh/Sm</w:t>
            </w:r>
            <w:r w:rsidRPr="00BC00BF">
              <w:rPr>
                <w:rFonts w:asciiTheme="majorHAnsi" w:eastAsia="Times New Roman" w:hAnsiTheme="majorHAnsi" w:cs="Calibri"/>
                <w:sz w:val="24"/>
                <w:szCs w:val="24"/>
                <w:vertAlign w:val="superscript"/>
                <w:lang w:val="sl-SI" w:eastAsia="sl-SI"/>
              </w:rPr>
              <w:t>3</w:t>
            </w:r>
            <w:r w:rsidRPr="00BC00BF">
              <w:rPr>
                <w:rFonts w:asciiTheme="majorHAnsi" w:eastAsia="Times New Roman" w:hAnsiTheme="majorHAnsi" w:cs="Calibri"/>
                <w:sz w:val="24"/>
                <w:szCs w:val="24"/>
                <w:lang w:val="sl-SI" w:eastAsia="sl-SI"/>
              </w:rPr>
              <w:t>]</w:t>
            </w:r>
          </w:p>
        </w:tc>
      </w:tr>
      <w:tr w:rsidR="00C03552" w:rsidRPr="00BC00BF" w14:paraId="3B187043" w14:textId="77777777" w:rsidTr="00630F14">
        <w:trPr>
          <w:trHeight w:val="345"/>
        </w:trPr>
        <w:tc>
          <w:tcPr>
            <w:tcW w:w="1077" w:type="dxa"/>
            <w:vMerge/>
            <w:vAlign w:val="center"/>
            <w:hideMark/>
          </w:tcPr>
          <w:p w14:paraId="13B17B32" w14:textId="77777777" w:rsidR="00C03552" w:rsidRPr="00BC00BF" w:rsidRDefault="00C03552" w:rsidP="00630F14">
            <w:pPr>
              <w:spacing w:after="0" w:line="240" w:lineRule="auto"/>
              <w:jc w:val="both"/>
              <w:rPr>
                <w:rFonts w:asciiTheme="majorHAnsi" w:eastAsia="Times New Roman" w:hAnsiTheme="majorHAnsi" w:cs="Calibri"/>
                <w:sz w:val="22"/>
                <w:szCs w:val="22"/>
                <w:lang w:val="sl-SI" w:eastAsia="sl-SI"/>
              </w:rPr>
            </w:pPr>
          </w:p>
        </w:tc>
        <w:tc>
          <w:tcPr>
            <w:tcW w:w="3756" w:type="dxa"/>
            <w:shd w:val="clear" w:color="000000" w:fill="FFFFFF"/>
            <w:noWrap/>
            <w:vAlign w:val="center"/>
          </w:tcPr>
          <w:p w14:paraId="1ACFED01"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Utekočinjen naftni plin</w:t>
            </w:r>
          </w:p>
        </w:tc>
        <w:tc>
          <w:tcPr>
            <w:tcW w:w="2056" w:type="dxa"/>
            <w:shd w:val="clear" w:color="000000" w:fill="FFFFFF"/>
            <w:noWrap/>
            <w:vAlign w:val="center"/>
          </w:tcPr>
          <w:p w14:paraId="35C40FEA"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l (liter)</w:t>
            </w:r>
          </w:p>
        </w:tc>
        <w:tc>
          <w:tcPr>
            <w:tcW w:w="2410" w:type="dxa"/>
            <w:shd w:val="clear" w:color="000000" w:fill="FFFFFF"/>
            <w:noWrap/>
            <w:vAlign w:val="center"/>
          </w:tcPr>
          <w:p w14:paraId="3DA34199"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7,17 [kWh/liter]</w:t>
            </w:r>
          </w:p>
        </w:tc>
      </w:tr>
      <w:tr w:rsidR="00C03552" w:rsidRPr="00BC00BF" w14:paraId="59358835" w14:textId="77777777" w:rsidTr="00630F14">
        <w:trPr>
          <w:trHeight w:val="300"/>
        </w:trPr>
        <w:tc>
          <w:tcPr>
            <w:tcW w:w="1077" w:type="dxa"/>
            <w:vMerge/>
            <w:vAlign w:val="center"/>
            <w:hideMark/>
          </w:tcPr>
          <w:p w14:paraId="33978079" w14:textId="77777777" w:rsidR="00C03552" w:rsidRPr="00BC00BF" w:rsidRDefault="00C03552" w:rsidP="00630F14">
            <w:pPr>
              <w:spacing w:after="0" w:line="240" w:lineRule="auto"/>
              <w:jc w:val="both"/>
              <w:rPr>
                <w:rFonts w:asciiTheme="majorHAnsi" w:eastAsia="Times New Roman" w:hAnsiTheme="majorHAnsi" w:cs="Calibri"/>
                <w:sz w:val="22"/>
                <w:szCs w:val="22"/>
                <w:lang w:val="sl-SI" w:eastAsia="sl-SI"/>
              </w:rPr>
            </w:pPr>
          </w:p>
        </w:tc>
        <w:tc>
          <w:tcPr>
            <w:tcW w:w="3756" w:type="dxa"/>
            <w:shd w:val="clear" w:color="000000" w:fill="FFFFFF"/>
            <w:noWrap/>
            <w:vAlign w:val="center"/>
          </w:tcPr>
          <w:p w14:paraId="56287C65"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Električna energija</w:t>
            </w:r>
          </w:p>
        </w:tc>
        <w:tc>
          <w:tcPr>
            <w:tcW w:w="2056" w:type="dxa"/>
            <w:shd w:val="clear" w:color="000000" w:fill="FFFFFF"/>
            <w:noWrap/>
            <w:vAlign w:val="center"/>
          </w:tcPr>
          <w:p w14:paraId="6A3911BF"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kWh</w:t>
            </w:r>
          </w:p>
        </w:tc>
        <w:tc>
          <w:tcPr>
            <w:tcW w:w="2410" w:type="dxa"/>
            <w:shd w:val="clear" w:color="000000" w:fill="FFFFFF"/>
            <w:noWrap/>
            <w:vAlign w:val="center"/>
          </w:tcPr>
          <w:p w14:paraId="2A6AAB2C"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1,0 [kWh/kWh]</w:t>
            </w:r>
          </w:p>
        </w:tc>
      </w:tr>
    </w:tbl>
    <w:p w14:paraId="75B72F32" w14:textId="77777777" w:rsidR="00C03552" w:rsidRPr="00BC00BF" w:rsidRDefault="00C03552" w:rsidP="00C03552">
      <w:pPr>
        <w:spacing w:after="0" w:line="240" w:lineRule="auto"/>
        <w:jc w:val="both"/>
        <w:rPr>
          <w:rFonts w:asciiTheme="majorHAnsi" w:eastAsia="Times New Roman" w:hAnsiTheme="majorHAnsi" w:cs="Calibri"/>
          <w:i/>
          <w:lang w:val="sl-SI" w:eastAsia="sl-SI"/>
        </w:rPr>
      </w:pPr>
      <w:r w:rsidRPr="00BC00BF">
        <w:rPr>
          <w:rFonts w:asciiTheme="majorHAnsi" w:eastAsia="Times New Roman" w:hAnsiTheme="majorHAnsi" w:cs="Calibri"/>
          <w:i/>
          <w:lang w:val="sl-SI" w:eastAsia="sl-SI"/>
        </w:rPr>
        <w:t>Opomba: kurilne vrednosti se v času trajanja pogodbe o pogodbenem zagotavljanju prihrankov, usklajujejo  z vrednostmi, ki izhajajo iz pogodb o dobavi energentov oziroma energije.</w:t>
      </w:r>
    </w:p>
    <w:p w14:paraId="0F9A781E"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33FEE08E" w14:textId="30C626B1"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u w:val="single"/>
          <w:lang w:val="sl-SI" w:eastAsia="sl-SI"/>
        </w:rPr>
        <w:t>Koristna energija</w:t>
      </w:r>
      <w:r w:rsidRPr="00BC00BF">
        <w:rPr>
          <w:rFonts w:asciiTheme="majorHAnsi" w:eastAsia="Times New Roman" w:hAnsiTheme="majorHAnsi" w:cs="Calibri"/>
          <w:sz w:val="24"/>
          <w:szCs w:val="24"/>
          <w:lang w:val="sl-SI" w:eastAsia="sl-SI"/>
        </w:rPr>
        <w:t xml:space="preserve"> je energija za obratovanje in doseganje udobja v objektih. Koristna energija v objektih je na primer: </w:t>
      </w:r>
    </w:p>
    <w:p w14:paraId="53F97044" w14:textId="77777777" w:rsidR="00C03552" w:rsidRPr="00BC00BF" w:rsidRDefault="00C03552" w:rsidP="00C03552">
      <w:pPr>
        <w:numPr>
          <w:ilvl w:val="0"/>
          <w:numId w:val="84"/>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toplota za:</w:t>
      </w:r>
    </w:p>
    <w:p w14:paraId="2354C1E3" w14:textId="77777777" w:rsidR="00C03552" w:rsidRPr="00BC00BF" w:rsidRDefault="00C03552" w:rsidP="00C03552">
      <w:pPr>
        <w:numPr>
          <w:ilvl w:val="1"/>
          <w:numId w:val="8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ogrevanje,</w:t>
      </w:r>
    </w:p>
    <w:p w14:paraId="059EEB7F" w14:textId="77777777" w:rsidR="00C03552" w:rsidRPr="00BC00BF" w:rsidRDefault="00C03552" w:rsidP="00C03552">
      <w:pPr>
        <w:numPr>
          <w:ilvl w:val="1"/>
          <w:numId w:val="8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pripravo sanitarne tople vode,</w:t>
      </w:r>
    </w:p>
    <w:p w14:paraId="3CBD2C4C" w14:textId="77777777" w:rsidR="00C03552" w:rsidRPr="00BC00BF" w:rsidRDefault="00C03552" w:rsidP="00C03552">
      <w:pPr>
        <w:numPr>
          <w:ilvl w:val="1"/>
          <w:numId w:val="8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hlad,</w:t>
      </w:r>
    </w:p>
    <w:p w14:paraId="40592C30" w14:textId="77777777" w:rsidR="00C03552" w:rsidRPr="00BC00BF" w:rsidRDefault="00C03552" w:rsidP="00C03552">
      <w:pPr>
        <w:numPr>
          <w:ilvl w:val="1"/>
          <w:numId w:val="8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drugo (npr. tehnologijo),</w:t>
      </w:r>
    </w:p>
    <w:p w14:paraId="3800F957" w14:textId="77777777" w:rsidR="00C03552" w:rsidRPr="00BC00BF" w:rsidRDefault="00C03552" w:rsidP="00C03552">
      <w:pPr>
        <w:numPr>
          <w:ilvl w:val="0"/>
          <w:numId w:val="84"/>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električna energija za:</w:t>
      </w:r>
    </w:p>
    <w:p w14:paraId="186A5886"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razsvetljavo,</w:t>
      </w:r>
    </w:p>
    <w:p w14:paraId="42D2BEF5"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tehnološke naprave,</w:t>
      </w:r>
    </w:p>
    <w:p w14:paraId="29F49246"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ogrevanje, </w:t>
      </w:r>
    </w:p>
    <w:p w14:paraId="269C5608"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pripravo sanitarne tople vode,</w:t>
      </w:r>
    </w:p>
    <w:p w14:paraId="569D3923"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pohlajevanje,</w:t>
      </w:r>
    </w:p>
    <w:p w14:paraId="68A5D173"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jalovo energijo,</w:t>
      </w:r>
    </w:p>
    <w:p w14:paraId="3C610B89"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ostalo.</w:t>
      </w:r>
    </w:p>
    <w:p w14:paraId="720449AE"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298B79EB" w14:textId="20708140" w:rsidR="00C03552" w:rsidRPr="00BC00BF" w:rsidRDefault="00C03552" w:rsidP="00C03552">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u w:val="single"/>
          <w:lang w:val="sl-SI" w:eastAsia="sl-SI"/>
        </w:rPr>
        <w:t>Referenčne količine dovedene energije</w:t>
      </w:r>
      <w:r w:rsidRPr="00BC00BF">
        <w:rPr>
          <w:rFonts w:asciiTheme="majorHAnsi" w:eastAsia="Times New Roman" w:hAnsiTheme="majorHAnsi" w:cs="Calibri"/>
          <w:sz w:val="24"/>
          <w:szCs w:val="24"/>
          <w:lang w:val="sl-SI" w:eastAsia="sl-SI"/>
        </w:rPr>
        <w:t xml:space="preserve"> za objekt so navedene v prilogi »</w:t>
      </w:r>
      <w:r w:rsidRPr="00BC00BF">
        <w:rPr>
          <w:rFonts w:asciiTheme="majorHAnsi" w:hAnsiTheme="majorHAnsi" w:cs="Calibri"/>
          <w:i/>
          <w:sz w:val="24"/>
          <w:szCs w:val="24"/>
          <w:lang w:val="sl-SI"/>
        </w:rPr>
        <w:t>Program izvajanja koncesije</w:t>
      </w:r>
      <w:r w:rsidRPr="00BC00BF">
        <w:rPr>
          <w:rFonts w:asciiTheme="majorHAnsi" w:eastAsia="Times New Roman" w:hAnsiTheme="majorHAnsi" w:cs="Calibri"/>
          <w:sz w:val="24"/>
          <w:szCs w:val="24"/>
          <w:lang w:val="sl-SI" w:eastAsia="sl-SI"/>
        </w:rPr>
        <w:t>«, kjer so poleg porabe energentov podani tudi njihovi stroški za objekt.</w:t>
      </w:r>
    </w:p>
    <w:p w14:paraId="66D100D0"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7B192099" w14:textId="171B34C4"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Vsi izračuni količin, stroškov in cen se izdelujejo za </w:t>
      </w:r>
      <w:r w:rsidRPr="00BC00BF">
        <w:rPr>
          <w:rFonts w:asciiTheme="majorHAnsi" w:eastAsia="Times New Roman" w:hAnsiTheme="majorHAnsi" w:cs="Calibri"/>
          <w:b/>
          <w:sz w:val="24"/>
          <w:szCs w:val="24"/>
          <w:lang w:val="sl-SI" w:eastAsia="sl-SI"/>
        </w:rPr>
        <w:t>vsak</w:t>
      </w:r>
      <w:r w:rsidRPr="00BC00BF">
        <w:rPr>
          <w:rFonts w:asciiTheme="majorHAnsi" w:eastAsia="Times New Roman" w:hAnsiTheme="majorHAnsi" w:cs="Calibri"/>
          <w:sz w:val="24"/>
          <w:szCs w:val="24"/>
          <w:lang w:val="sl-SI" w:eastAsia="sl-SI"/>
        </w:rPr>
        <w:t xml:space="preserve"> </w:t>
      </w:r>
      <w:r w:rsidRPr="00BC00BF">
        <w:rPr>
          <w:rFonts w:asciiTheme="majorHAnsi" w:eastAsia="Times New Roman" w:hAnsiTheme="majorHAnsi" w:cs="Calibri"/>
          <w:b/>
          <w:sz w:val="24"/>
          <w:szCs w:val="24"/>
          <w:lang w:val="sl-SI" w:eastAsia="sl-SI"/>
        </w:rPr>
        <w:t>objekt</w:t>
      </w:r>
      <w:r w:rsidRPr="00BC00BF">
        <w:rPr>
          <w:rFonts w:asciiTheme="majorHAnsi" w:eastAsia="Times New Roman" w:hAnsiTheme="majorHAnsi" w:cs="Calibri"/>
          <w:sz w:val="24"/>
          <w:szCs w:val="24"/>
          <w:lang w:val="sl-SI" w:eastAsia="sl-SI"/>
        </w:rPr>
        <w:t xml:space="preserve"> posebej ter tudi za celoto. Za izračun se uporabljajo cene energentov in energije brez DDV, upoštevani pa so zakonski prispevki, ki se lahko spreminjajo skladno s zakonodajo na letnem nivoju. Koncesionar na računu za svojo storitev prikaže DDV.</w:t>
      </w:r>
    </w:p>
    <w:p w14:paraId="0E048326"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5E27FC21" w14:textId="401D08E3" w:rsidR="00C03552" w:rsidRPr="00BC00BF" w:rsidRDefault="00C03552" w:rsidP="00C03552">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 xml:space="preserve">Referenčna cena energije se določi tako, da se celoten znesek stroškov brez DDV, iz računov za referenčno obdobje za posamezni vhodni energent, deli </w:t>
      </w:r>
      <w:r w:rsidR="00BC00BF">
        <w:rPr>
          <w:rFonts w:asciiTheme="majorHAnsi" w:eastAsia="Times New Roman" w:hAnsiTheme="majorHAnsi" w:cs="Calibri"/>
          <w:sz w:val="24"/>
          <w:szCs w:val="24"/>
          <w:lang w:val="sl-SI" w:eastAsia="sl-SI"/>
        </w:rPr>
        <w:t>z</w:t>
      </w:r>
      <w:r w:rsidRPr="00BC00BF">
        <w:rPr>
          <w:rFonts w:asciiTheme="majorHAnsi" w:eastAsia="Times New Roman" w:hAnsiTheme="majorHAnsi" w:cs="Calibri"/>
          <w:sz w:val="24"/>
          <w:szCs w:val="24"/>
          <w:lang w:val="sl-SI" w:eastAsia="sl-SI"/>
        </w:rPr>
        <w:t xml:space="preserve"> rabo energije v kWh v referenčnem obdobju. </w:t>
      </w:r>
    </w:p>
    <w:p w14:paraId="3F006816"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0DA5F5A1" w14:textId="0B9EDA06"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Referenčno obdobje za posamezne energente je povprečje koledarskih let 2012, 2013, 2014, 2015 ter 2016. </w:t>
      </w:r>
    </w:p>
    <w:p w14:paraId="32CCC89A"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75388EBD" w14:textId="5F72534D"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električno energijo se upošteva prav tako referenčno obdobje 2012, 2013, 2014, 2015 ter 2016. Za to obdobje se izračuna povprečna letna poraba električne energije.</w:t>
      </w:r>
    </w:p>
    <w:p w14:paraId="15C8DDDA"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55F3AAF8"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preračun končne oz. dovedene energije v koristno energijo se za potrebe referenčnih količin dogovorjeno uporablja izkoristek ogrevalnih virov na podlagi izvedenih ogledov stavb s strani koncesionarja.</w:t>
      </w:r>
    </w:p>
    <w:p w14:paraId="7FF2BD76"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1E5B621D"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V obdobju prve ogrevalne sezone, po podpisu koncesijske pogodbe in pred pričetkom izvajanja glavne storitve, bo koncesionar na podlagi vgrajenih merilnikov rabe energije (toplote in električne energije) preveril referenčne rabe. </w:t>
      </w:r>
    </w:p>
    <w:p w14:paraId="32CFAAF5"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63DE4A39" w14:textId="5967DDD4"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V primeru ugot</w:t>
      </w:r>
      <w:r w:rsidR="007E59CD" w:rsidRPr="00BC00BF">
        <w:rPr>
          <w:rFonts w:asciiTheme="majorHAnsi" w:eastAsia="Times New Roman" w:hAnsiTheme="majorHAnsi" w:cs="Calibri"/>
          <w:sz w:val="24"/>
          <w:szCs w:val="24"/>
          <w:lang w:val="sl-SI" w:eastAsia="sl-SI"/>
        </w:rPr>
        <w:t>ovljenih odstopanj, večjih od 5</w:t>
      </w:r>
      <w:r w:rsidRPr="00BC00BF">
        <w:rPr>
          <w:rFonts w:asciiTheme="majorHAnsi" w:eastAsia="Times New Roman" w:hAnsiTheme="majorHAnsi" w:cs="Calibri"/>
          <w:sz w:val="24"/>
          <w:szCs w:val="24"/>
          <w:lang w:val="sl-SI" w:eastAsia="sl-SI"/>
        </w:rPr>
        <w:t xml:space="preserve"> %, bo koncesionar s koncedentom dogovoril morebitne popravke referenčne rabe energije. </w:t>
      </w:r>
    </w:p>
    <w:p w14:paraId="44DEDCA1" w14:textId="5FDA30AE" w:rsidR="006E2D6F" w:rsidRPr="00BC00BF" w:rsidRDefault="00BC00BF" w:rsidP="00BC00BF">
      <w:pPr>
        <w:pStyle w:val="Heading1"/>
      </w:pPr>
      <w:r>
        <w:rPr>
          <w:lang w:val="sl-SI"/>
        </w:rPr>
        <w:t xml:space="preserve">5 </w:t>
      </w:r>
      <w:r w:rsidR="006E2D6F" w:rsidRPr="00BC00BF">
        <w:rPr>
          <w:lang w:val="sl-SI"/>
        </w:rPr>
        <w:t>OBRAČUNSKO OBDOBJE</w:t>
      </w:r>
    </w:p>
    <w:p w14:paraId="31706E91" w14:textId="77777777" w:rsidR="00CF4503" w:rsidRPr="00BC00BF" w:rsidRDefault="00CF4503" w:rsidP="0053031C">
      <w:pPr>
        <w:jc w:val="both"/>
        <w:rPr>
          <w:rFonts w:asciiTheme="majorHAnsi" w:hAnsiTheme="majorHAnsi" w:cs="Calibri"/>
          <w:sz w:val="24"/>
          <w:szCs w:val="24"/>
          <w:lang w:val="sl-SI"/>
        </w:rPr>
      </w:pPr>
    </w:p>
    <w:p w14:paraId="34C2ED12" w14:textId="447AADF5" w:rsidR="006E2D6F" w:rsidRPr="00BC00BF" w:rsidRDefault="006E2D6F" w:rsidP="0053031C">
      <w:pPr>
        <w:jc w:val="both"/>
        <w:rPr>
          <w:rFonts w:asciiTheme="majorHAnsi" w:hAnsiTheme="majorHAnsi" w:cs="Calibri"/>
          <w:sz w:val="24"/>
          <w:szCs w:val="24"/>
          <w:lang w:val="sl-SI"/>
        </w:rPr>
      </w:pPr>
      <w:r w:rsidRPr="00BC00BF">
        <w:rPr>
          <w:rFonts w:asciiTheme="majorHAnsi" w:hAnsiTheme="majorHAnsi" w:cs="Calibri"/>
          <w:sz w:val="24"/>
          <w:szCs w:val="24"/>
          <w:lang w:val="sl-SI"/>
        </w:rPr>
        <w:t>Vsi obračuni in drugi izračuni</w:t>
      </w:r>
      <w:r w:rsidR="00CD3EB0" w:rsidRPr="00BC00BF">
        <w:rPr>
          <w:rFonts w:asciiTheme="majorHAnsi" w:hAnsiTheme="majorHAnsi" w:cs="Calibri"/>
          <w:sz w:val="24"/>
          <w:szCs w:val="24"/>
          <w:lang w:val="sl-SI"/>
        </w:rPr>
        <w:t xml:space="preserve"> za potrebe ugotavljanja doseganja zajamčenih prihrankov</w:t>
      </w:r>
      <w:r w:rsidRPr="00BC00BF">
        <w:rPr>
          <w:rFonts w:asciiTheme="majorHAnsi" w:hAnsiTheme="majorHAnsi" w:cs="Calibri"/>
          <w:sz w:val="24"/>
          <w:szCs w:val="24"/>
          <w:lang w:val="sl-SI"/>
        </w:rPr>
        <w:t xml:space="preserve"> se izvajajo za obračunsko obdobje enega leta, pri čemer je prvo obračunsko obdobje enako obdobju enega leta od datuma začetka izvajanja glavne storitve.</w:t>
      </w:r>
    </w:p>
    <w:p w14:paraId="350DAA8D" w14:textId="69E0CDB5" w:rsidR="006E2D6F" w:rsidRPr="00BC00BF" w:rsidRDefault="006E2D6F" w:rsidP="0053031C">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obdobje trajanja </w:t>
      </w:r>
      <w:r w:rsidR="00BC00BF">
        <w:rPr>
          <w:rFonts w:asciiTheme="majorHAnsi" w:hAnsiTheme="majorHAnsi" w:cs="Calibri"/>
          <w:sz w:val="24"/>
          <w:szCs w:val="24"/>
          <w:lang w:val="sl-SI"/>
        </w:rPr>
        <w:t>koncesijske</w:t>
      </w:r>
      <w:r w:rsidRPr="00BC00BF">
        <w:rPr>
          <w:rFonts w:asciiTheme="majorHAnsi" w:hAnsiTheme="majorHAnsi" w:cs="Calibri"/>
          <w:sz w:val="24"/>
          <w:szCs w:val="24"/>
          <w:lang w:val="sl-SI"/>
        </w:rPr>
        <w:t xml:space="preserve"> pogodbe oziroma obdobje merjenja prihrankov energije ni identično z začetkom ali koncem obračunskega obdobja, se obračun za takšna delna obdobja trajanja izvrši sorazmerno glede na število pogodbenih mesecev, ki jih zajame obračunsko obdobje.</w:t>
      </w:r>
    </w:p>
    <w:p w14:paraId="6854A2FC" w14:textId="70408C4A" w:rsidR="00474470" w:rsidRPr="00BC00BF" w:rsidRDefault="00BC00BF" w:rsidP="00BC00BF">
      <w:pPr>
        <w:pStyle w:val="Heading1"/>
      </w:pPr>
      <w:r>
        <w:rPr>
          <w:lang w:val="sl-SI"/>
        </w:rPr>
        <w:t xml:space="preserve">6 </w:t>
      </w:r>
      <w:r w:rsidR="00474470" w:rsidRPr="00BC00BF">
        <w:rPr>
          <w:lang w:val="sl-SI"/>
        </w:rPr>
        <w:t>IZRAČUNAVANJE PRIHRANKOV</w:t>
      </w:r>
    </w:p>
    <w:p w14:paraId="11FD8D7E" w14:textId="77777777" w:rsidR="00CD3EB0" w:rsidRPr="00BC00BF" w:rsidRDefault="00CD3EB0" w:rsidP="0053031C">
      <w:pPr>
        <w:rPr>
          <w:rFonts w:asciiTheme="majorHAnsi" w:hAnsiTheme="majorHAnsi" w:cs="Calibri"/>
          <w:sz w:val="24"/>
          <w:szCs w:val="24"/>
          <w:lang w:val="sl-SI"/>
        </w:rPr>
      </w:pPr>
    </w:p>
    <w:p w14:paraId="4729DC7C" w14:textId="6FCD661F" w:rsidR="00E35EDC" w:rsidRPr="00BC00BF" w:rsidRDefault="00F63B88" w:rsidP="00BC00BF">
      <w:pPr>
        <w:pStyle w:val="Heading2"/>
        <w:rPr>
          <w:lang w:val="sl-SI"/>
        </w:rPr>
      </w:pPr>
      <w:r>
        <w:rPr>
          <w:lang w:val="sl-SI"/>
        </w:rPr>
        <w:t xml:space="preserve">6.1. </w:t>
      </w:r>
      <w:r w:rsidR="00CD3EB0" w:rsidRPr="00BC00BF">
        <w:rPr>
          <w:lang w:val="sl-SI"/>
        </w:rPr>
        <w:t>Pogodbeno zagotavljanje prihrankov v javnih objektih koncedenta</w:t>
      </w:r>
    </w:p>
    <w:p w14:paraId="2BFC665A" w14:textId="1B57F697" w:rsidR="00474470" w:rsidRPr="00BC00BF" w:rsidRDefault="00474470" w:rsidP="0051271A">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Doseganje zajamčenega prihranka energije in s tem presoje vprašanja, ali je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upravičen do plačila zneska za prihranek energije, se ugotovi na osnovi obračunskih doku</w:t>
      </w:r>
      <w:r w:rsidR="00FB3C73" w:rsidRPr="00BC00BF">
        <w:rPr>
          <w:rFonts w:asciiTheme="majorHAnsi" w:hAnsiTheme="majorHAnsi" w:cs="Calibri"/>
          <w:sz w:val="24"/>
          <w:szCs w:val="24"/>
          <w:lang w:val="sl-SI"/>
        </w:rPr>
        <w:t xml:space="preserve">mentov ločeno </w:t>
      </w:r>
      <w:r w:rsidRPr="00BC00BF">
        <w:rPr>
          <w:rFonts w:asciiTheme="majorHAnsi" w:hAnsiTheme="majorHAnsi" w:cs="Calibri"/>
          <w:sz w:val="24"/>
          <w:szCs w:val="24"/>
          <w:lang w:val="sl-SI"/>
        </w:rPr>
        <w:t>za vsako vrsto energije na naslednji način:</w:t>
      </w:r>
    </w:p>
    <w:p w14:paraId="3FFB3858" w14:textId="77777777" w:rsidR="00B42F32" w:rsidRDefault="00B42F32" w:rsidP="00474470">
      <w:pPr>
        <w:rPr>
          <w:rFonts w:asciiTheme="majorHAnsi" w:hAnsiTheme="majorHAnsi" w:cs="Calibri"/>
          <w:b/>
          <w:sz w:val="24"/>
          <w:szCs w:val="24"/>
          <w:lang w:val="sl-SI"/>
        </w:rPr>
      </w:pPr>
    </w:p>
    <w:p w14:paraId="23AD5260" w14:textId="77777777" w:rsidR="00B42F32" w:rsidRDefault="00B42F32" w:rsidP="00474470">
      <w:pPr>
        <w:rPr>
          <w:rFonts w:asciiTheme="majorHAnsi" w:hAnsiTheme="majorHAnsi" w:cs="Calibri"/>
          <w:b/>
          <w:sz w:val="24"/>
          <w:szCs w:val="24"/>
          <w:lang w:val="sl-SI"/>
        </w:rPr>
      </w:pPr>
    </w:p>
    <w:p w14:paraId="0CEF545A" w14:textId="77777777" w:rsidR="00694760" w:rsidRPr="00BC00BF" w:rsidRDefault="00880ED5" w:rsidP="00474470">
      <w:pPr>
        <w:rPr>
          <w:rFonts w:asciiTheme="majorHAnsi" w:hAnsiTheme="majorHAnsi" w:cs="Calibri"/>
          <w:b/>
          <w:sz w:val="24"/>
          <w:szCs w:val="24"/>
          <w:lang w:val="sl-SI"/>
        </w:rPr>
      </w:pPr>
      <w:r w:rsidRPr="00BC00BF">
        <w:rPr>
          <w:rFonts w:asciiTheme="majorHAnsi" w:hAnsiTheme="majorHAnsi" w:cs="Calibri"/>
          <w:b/>
          <w:sz w:val="24"/>
          <w:szCs w:val="24"/>
          <w:lang w:val="sl-SI"/>
        </w:rPr>
        <w:lastRenderedPageBreak/>
        <w:t>Toplotna energija;</w:t>
      </w:r>
    </w:p>
    <w:p w14:paraId="5483C960" w14:textId="2ACBAA01" w:rsidR="00474470" w:rsidRPr="00BC00BF" w:rsidRDefault="00474470" w:rsidP="00474470">
      <w:pPr>
        <w:rPr>
          <w:rFonts w:asciiTheme="majorHAnsi" w:hAnsiTheme="majorHAnsi" w:cs="Calibri"/>
          <w:sz w:val="24"/>
          <w:szCs w:val="24"/>
          <w:lang w:val="sl-SI"/>
        </w:rPr>
      </w:pPr>
      <w:r w:rsidRPr="00BC00BF">
        <w:rPr>
          <w:rFonts w:asciiTheme="majorHAnsi" w:hAnsiTheme="majorHAnsi" w:cs="Calibri"/>
          <w:sz w:val="24"/>
          <w:szCs w:val="24"/>
          <w:lang w:val="sl-SI"/>
        </w:rPr>
        <w:t>Dejanski prihranek toplotne energije [€] = (Referenčna poraba energije [kWh] x referenčna cena energije [€/kWh]) – (prilagojena poraba energije [kWh]) x cena energije [€/kWh])</w:t>
      </w:r>
    </w:p>
    <w:p w14:paraId="5ED1490E" w14:textId="77777777" w:rsidR="00474470" w:rsidRPr="00BC00BF" w:rsidRDefault="00474470" w:rsidP="00474470">
      <w:pPr>
        <w:rPr>
          <w:rFonts w:asciiTheme="majorHAnsi" w:hAnsiTheme="majorHAnsi" w:cs="Calibri"/>
          <w:sz w:val="24"/>
          <w:szCs w:val="24"/>
          <w:lang w:val="sl-SI"/>
        </w:rPr>
      </w:pPr>
      <w:r w:rsidRPr="00BC00BF">
        <w:rPr>
          <w:rFonts w:asciiTheme="majorHAnsi" w:hAnsiTheme="majorHAnsi" w:cs="Calibri"/>
          <w:sz w:val="24"/>
          <w:szCs w:val="24"/>
          <w:lang w:val="sl-SI"/>
        </w:rPr>
        <w:t>Pri čemer je:</w:t>
      </w:r>
    </w:p>
    <w:p w14:paraId="1DEC8E7B" w14:textId="35D3A8D3" w:rsidR="00474470" w:rsidRPr="00BC00BF" w:rsidRDefault="00474470" w:rsidP="00F63B88">
      <w:pPr>
        <w:jc w:val="both"/>
        <w:rPr>
          <w:rFonts w:asciiTheme="majorHAnsi" w:hAnsiTheme="majorHAnsi" w:cs="Calibri"/>
          <w:sz w:val="24"/>
          <w:szCs w:val="24"/>
          <w:lang w:val="sl-SI"/>
        </w:rPr>
      </w:pPr>
      <w:r w:rsidRPr="00BC00BF">
        <w:rPr>
          <w:rFonts w:asciiTheme="majorHAnsi" w:hAnsiTheme="majorHAnsi" w:cs="Calibri"/>
          <w:sz w:val="24"/>
          <w:szCs w:val="24"/>
          <w:lang w:val="sl-SI"/>
        </w:rPr>
        <w:t>Referenčna poraba energije</w:t>
      </w:r>
      <w:r w:rsidRPr="00BC00BF">
        <w:rPr>
          <w:rFonts w:asciiTheme="majorHAnsi" w:hAnsiTheme="majorHAnsi" w:cs="Calibri"/>
          <w:sz w:val="24"/>
          <w:szCs w:val="24"/>
          <w:lang w:val="sl-SI"/>
        </w:rPr>
        <w:tab/>
      </w:r>
      <w:r w:rsidR="00F63B88">
        <w:rPr>
          <w:rFonts w:asciiTheme="majorHAnsi" w:hAnsiTheme="majorHAnsi" w:cs="Calibri"/>
          <w:sz w:val="24"/>
          <w:szCs w:val="24"/>
          <w:lang w:val="sl-SI"/>
        </w:rPr>
        <w:t xml:space="preserve">- </w:t>
      </w:r>
      <w:r w:rsidRPr="00BC00BF">
        <w:rPr>
          <w:rFonts w:asciiTheme="majorHAnsi" w:hAnsiTheme="majorHAnsi" w:cs="Calibri"/>
          <w:sz w:val="24"/>
          <w:szCs w:val="24"/>
          <w:lang w:val="sl-SI"/>
        </w:rPr>
        <w:t xml:space="preserve">poraba toplotne energije za objekt, določena v </w:t>
      </w:r>
      <w:r w:rsidR="00C8076A" w:rsidRPr="00BC00BF">
        <w:rPr>
          <w:rFonts w:asciiTheme="majorHAnsi" w:hAnsiTheme="majorHAnsi" w:cs="Calibri"/>
          <w:sz w:val="24"/>
          <w:szCs w:val="24"/>
          <w:lang w:val="sl-SI"/>
        </w:rPr>
        <w:t>P</w:t>
      </w:r>
      <w:r w:rsidRPr="00BC00BF">
        <w:rPr>
          <w:rFonts w:asciiTheme="majorHAnsi" w:hAnsiTheme="majorHAnsi" w:cs="Calibri"/>
          <w:sz w:val="24"/>
          <w:szCs w:val="24"/>
          <w:lang w:val="sl-SI"/>
        </w:rPr>
        <w:t xml:space="preserve">rilogi </w:t>
      </w:r>
      <w:r w:rsidR="00C8076A" w:rsidRPr="00BC00BF">
        <w:rPr>
          <w:rFonts w:asciiTheme="majorHAnsi" w:hAnsiTheme="majorHAnsi" w:cs="Calibri"/>
          <w:sz w:val="24"/>
          <w:szCs w:val="24"/>
          <w:lang w:val="sl-SI"/>
        </w:rPr>
        <w:t>1 - »</w:t>
      </w:r>
      <w:r w:rsidR="0051271A" w:rsidRPr="00BC00BF">
        <w:rPr>
          <w:rFonts w:asciiTheme="majorHAnsi" w:hAnsiTheme="majorHAnsi" w:cs="Calibri"/>
          <w:sz w:val="24"/>
          <w:szCs w:val="24"/>
          <w:lang w:val="sl-SI"/>
        </w:rPr>
        <w:t>Program izvajanja koncesije</w:t>
      </w:r>
      <w:r w:rsidR="00C8076A" w:rsidRPr="00BC00BF">
        <w:rPr>
          <w:rFonts w:asciiTheme="majorHAnsi" w:hAnsiTheme="majorHAnsi" w:cs="Calibri"/>
          <w:sz w:val="24"/>
          <w:szCs w:val="24"/>
          <w:lang w:val="sl-SI"/>
        </w:rPr>
        <w:t>«</w:t>
      </w:r>
    </w:p>
    <w:p w14:paraId="1722C9D8" w14:textId="724873B4" w:rsidR="00474470" w:rsidRPr="00BC00BF" w:rsidRDefault="00F63B88" w:rsidP="00F63B88">
      <w:pPr>
        <w:jc w:val="both"/>
        <w:rPr>
          <w:rFonts w:asciiTheme="majorHAnsi" w:hAnsiTheme="majorHAnsi" w:cs="Calibri"/>
          <w:sz w:val="24"/>
          <w:szCs w:val="24"/>
          <w:lang w:val="sl-SI"/>
        </w:rPr>
      </w:pPr>
      <w:r>
        <w:rPr>
          <w:rFonts w:asciiTheme="majorHAnsi" w:hAnsiTheme="majorHAnsi" w:cs="Calibri"/>
          <w:sz w:val="24"/>
          <w:szCs w:val="24"/>
          <w:lang w:val="sl-SI"/>
        </w:rPr>
        <w:t xml:space="preserve">Referenčna cena energije - </w:t>
      </w:r>
      <w:r w:rsidR="00474470" w:rsidRPr="00BC00BF">
        <w:rPr>
          <w:rFonts w:asciiTheme="majorHAnsi" w:hAnsiTheme="majorHAnsi" w:cs="Calibri"/>
          <w:sz w:val="24"/>
          <w:szCs w:val="24"/>
          <w:lang w:val="sl-SI"/>
        </w:rPr>
        <w:t xml:space="preserve">cena toplotne energije za objekt, določena v </w:t>
      </w:r>
      <w:r w:rsidR="00C8076A" w:rsidRPr="00BC00BF">
        <w:rPr>
          <w:rFonts w:asciiTheme="majorHAnsi" w:hAnsiTheme="majorHAnsi" w:cs="Calibri"/>
          <w:sz w:val="24"/>
          <w:szCs w:val="24"/>
          <w:lang w:val="sl-SI"/>
        </w:rPr>
        <w:t>Prilogi 1 - »</w:t>
      </w:r>
      <w:r w:rsidR="0051271A" w:rsidRPr="00BC00BF">
        <w:rPr>
          <w:rFonts w:asciiTheme="majorHAnsi" w:hAnsiTheme="majorHAnsi" w:cs="Calibri"/>
          <w:sz w:val="24"/>
          <w:szCs w:val="24"/>
          <w:lang w:val="sl-SI"/>
        </w:rPr>
        <w:t>Program izvajanja koncesije</w:t>
      </w:r>
      <w:r w:rsidR="00C8076A" w:rsidRPr="00BC00BF">
        <w:rPr>
          <w:rFonts w:asciiTheme="majorHAnsi" w:hAnsiTheme="majorHAnsi" w:cs="Calibri"/>
          <w:sz w:val="24"/>
          <w:szCs w:val="24"/>
          <w:lang w:val="sl-SI"/>
        </w:rPr>
        <w:t>«</w:t>
      </w:r>
    </w:p>
    <w:p w14:paraId="2CA6300C" w14:textId="39F118B3" w:rsidR="00474470" w:rsidRPr="00BC00BF" w:rsidRDefault="00F63B88" w:rsidP="00F63B88">
      <w:pPr>
        <w:jc w:val="both"/>
        <w:rPr>
          <w:rFonts w:asciiTheme="majorHAnsi" w:hAnsiTheme="majorHAnsi" w:cs="Calibri"/>
          <w:sz w:val="24"/>
          <w:szCs w:val="24"/>
          <w:lang w:val="sl-SI"/>
        </w:rPr>
      </w:pPr>
      <w:r>
        <w:rPr>
          <w:rFonts w:asciiTheme="majorHAnsi" w:hAnsiTheme="majorHAnsi" w:cs="Calibri"/>
          <w:sz w:val="24"/>
          <w:szCs w:val="24"/>
          <w:lang w:val="sl-SI"/>
        </w:rPr>
        <w:t xml:space="preserve">Prilagojena poraba energije - </w:t>
      </w:r>
      <w:r w:rsidR="00474470" w:rsidRPr="00BC00BF">
        <w:rPr>
          <w:rFonts w:asciiTheme="majorHAnsi" w:hAnsiTheme="majorHAnsi" w:cs="Calibri"/>
          <w:sz w:val="24"/>
          <w:szCs w:val="24"/>
          <w:lang w:val="sl-SI"/>
        </w:rPr>
        <w:t xml:space="preserve">dejanska poraba, prilagojena glede na </w:t>
      </w:r>
      <w:r w:rsidR="000439DC" w:rsidRPr="00BC00BF">
        <w:rPr>
          <w:rFonts w:asciiTheme="majorHAnsi" w:hAnsiTheme="majorHAnsi" w:cs="Calibri"/>
          <w:sz w:val="24"/>
          <w:szCs w:val="24"/>
          <w:lang w:val="sl-SI"/>
        </w:rPr>
        <w:t>TD in spremembo uporabe objekta</w:t>
      </w:r>
    </w:p>
    <w:p w14:paraId="7B321688" w14:textId="27F89A6F" w:rsidR="00CB2D56" w:rsidRPr="00BC00BF" w:rsidRDefault="00CB2D56" w:rsidP="00F63B88">
      <w:pPr>
        <w:ind w:left="2832" w:hanging="2832"/>
        <w:jc w:val="both"/>
        <w:rPr>
          <w:rFonts w:asciiTheme="majorHAnsi" w:hAnsiTheme="majorHAnsi" w:cs="Calibri"/>
          <w:sz w:val="24"/>
          <w:szCs w:val="24"/>
          <w:lang w:val="sl-SI"/>
        </w:rPr>
      </w:pPr>
      <w:r w:rsidRPr="00BC00BF">
        <w:rPr>
          <w:rFonts w:asciiTheme="majorHAnsi" w:hAnsiTheme="majorHAnsi" w:cs="Calibri"/>
          <w:sz w:val="24"/>
          <w:szCs w:val="24"/>
          <w:lang w:val="sl-SI"/>
        </w:rPr>
        <w:t>Cena energije</w:t>
      </w:r>
      <w:r w:rsidRPr="00BC00BF">
        <w:rPr>
          <w:rFonts w:asciiTheme="majorHAnsi" w:hAnsiTheme="majorHAnsi" w:cs="Calibri"/>
          <w:sz w:val="24"/>
          <w:szCs w:val="24"/>
          <w:lang w:val="sl-SI"/>
        </w:rPr>
        <w:tab/>
        <w:t>V primeru enakega energenta je cena energije enaka referenčni ceni energije. V primeru prehoda na nov energent je cena energije cena, k</w:t>
      </w:r>
      <w:r w:rsidR="0051271A" w:rsidRPr="00BC00BF">
        <w:rPr>
          <w:rFonts w:asciiTheme="majorHAnsi" w:hAnsiTheme="majorHAnsi" w:cs="Calibri"/>
          <w:sz w:val="24"/>
          <w:szCs w:val="24"/>
          <w:lang w:val="sl-SI"/>
        </w:rPr>
        <w:t>i jo ponudnik ponudi v Prilogi 1</w:t>
      </w:r>
      <w:r w:rsidRPr="00BC00BF">
        <w:rPr>
          <w:rFonts w:asciiTheme="majorHAnsi" w:hAnsiTheme="majorHAnsi" w:cs="Calibri"/>
          <w:sz w:val="24"/>
          <w:szCs w:val="24"/>
          <w:lang w:val="sl-SI"/>
        </w:rPr>
        <w:t xml:space="preserve"> »Program izvajanja koncesije«</w:t>
      </w:r>
    </w:p>
    <w:p w14:paraId="25F04226" w14:textId="77777777" w:rsidR="00B00D94" w:rsidRPr="00BC00BF" w:rsidRDefault="00B00D94" w:rsidP="00CB64A9">
      <w:pPr>
        <w:rPr>
          <w:rFonts w:asciiTheme="majorHAnsi" w:hAnsiTheme="majorHAnsi" w:cs="Calibri"/>
          <w:b/>
          <w:sz w:val="24"/>
          <w:szCs w:val="24"/>
          <w:lang w:val="sl-SI"/>
        </w:rPr>
      </w:pPr>
    </w:p>
    <w:p w14:paraId="4E91599F" w14:textId="536A0936" w:rsidR="00CB64A9" w:rsidRPr="00BC00BF" w:rsidRDefault="00CB64A9" w:rsidP="00CB64A9">
      <w:pPr>
        <w:rPr>
          <w:rFonts w:asciiTheme="majorHAnsi" w:hAnsiTheme="majorHAnsi" w:cs="Calibri"/>
          <w:b/>
          <w:sz w:val="24"/>
          <w:szCs w:val="24"/>
          <w:lang w:val="sl-SI"/>
        </w:rPr>
      </w:pPr>
      <w:r w:rsidRPr="00BC00BF">
        <w:rPr>
          <w:rFonts w:asciiTheme="majorHAnsi" w:hAnsiTheme="majorHAnsi" w:cs="Calibri"/>
          <w:b/>
          <w:sz w:val="24"/>
          <w:szCs w:val="24"/>
          <w:lang w:val="sl-SI"/>
        </w:rPr>
        <w:t>Električna  energija;</w:t>
      </w:r>
    </w:p>
    <w:p w14:paraId="3928067F" w14:textId="77777777" w:rsidR="00474470" w:rsidRPr="00BC00BF" w:rsidRDefault="00474470" w:rsidP="0016652C">
      <w:pPr>
        <w:jc w:val="both"/>
        <w:rPr>
          <w:rFonts w:asciiTheme="majorHAnsi" w:hAnsiTheme="majorHAnsi" w:cs="Calibri"/>
          <w:sz w:val="24"/>
          <w:szCs w:val="24"/>
          <w:lang w:val="sl-SI"/>
        </w:rPr>
      </w:pPr>
      <w:r w:rsidRPr="00BC00BF">
        <w:rPr>
          <w:rFonts w:asciiTheme="majorHAnsi" w:hAnsiTheme="majorHAnsi" w:cs="Calibri"/>
          <w:sz w:val="24"/>
          <w:szCs w:val="24"/>
          <w:lang w:val="sl-SI"/>
        </w:rPr>
        <w:t>Dejanski prihranek  električne energije [€] = (referenčna poraba energije [kWh] – (prilagojena poraba energije [kWh] – raba energije za ogrevanje)) x referenčna cena energije [€/kWh]</w:t>
      </w:r>
    </w:p>
    <w:p w14:paraId="4F8E18E4" w14:textId="77777777" w:rsidR="00474470" w:rsidRPr="00BC00BF" w:rsidRDefault="00474470" w:rsidP="00474470">
      <w:pPr>
        <w:rPr>
          <w:rFonts w:asciiTheme="majorHAnsi" w:hAnsiTheme="majorHAnsi" w:cs="Calibri"/>
          <w:sz w:val="24"/>
          <w:szCs w:val="24"/>
          <w:lang w:val="sl-SI"/>
        </w:rPr>
      </w:pPr>
      <w:r w:rsidRPr="00BC00BF">
        <w:rPr>
          <w:rFonts w:asciiTheme="majorHAnsi" w:hAnsiTheme="majorHAnsi" w:cs="Calibri"/>
          <w:sz w:val="24"/>
          <w:szCs w:val="24"/>
          <w:lang w:val="sl-SI"/>
        </w:rPr>
        <w:t>Pri čemer je:</w:t>
      </w:r>
    </w:p>
    <w:p w14:paraId="195DCC1B" w14:textId="1609045E" w:rsidR="00474470" w:rsidRPr="00BC00BF" w:rsidRDefault="00474470" w:rsidP="0016652C">
      <w:pPr>
        <w:jc w:val="both"/>
        <w:rPr>
          <w:rFonts w:asciiTheme="majorHAnsi" w:hAnsiTheme="majorHAnsi" w:cs="Calibri"/>
          <w:sz w:val="24"/>
          <w:szCs w:val="24"/>
          <w:lang w:val="sl-SI"/>
        </w:rPr>
      </w:pPr>
      <w:r w:rsidRPr="00BC00BF">
        <w:rPr>
          <w:rFonts w:asciiTheme="majorHAnsi" w:hAnsiTheme="majorHAnsi" w:cs="Calibri"/>
          <w:sz w:val="24"/>
          <w:szCs w:val="24"/>
          <w:lang w:val="sl-SI"/>
        </w:rPr>
        <w:t>Referenčna poraba energije</w:t>
      </w:r>
      <w:r w:rsidR="0016652C">
        <w:rPr>
          <w:rFonts w:asciiTheme="majorHAnsi" w:hAnsiTheme="majorHAnsi" w:cs="Calibri"/>
          <w:sz w:val="24"/>
          <w:szCs w:val="24"/>
          <w:lang w:val="sl-SI"/>
        </w:rPr>
        <w:t xml:space="preserve"> -</w:t>
      </w:r>
      <w:r w:rsidRPr="00BC00BF">
        <w:rPr>
          <w:rFonts w:asciiTheme="majorHAnsi" w:hAnsiTheme="majorHAnsi" w:cs="Calibri"/>
          <w:sz w:val="24"/>
          <w:szCs w:val="24"/>
          <w:lang w:val="sl-SI"/>
        </w:rPr>
        <w:tab/>
        <w:t xml:space="preserve">poraba energije za objekt, določena v </w:t>
      </w:r>
      <w:r w:rsidR="000439DC" w:rsidRPr="00BC00BF">
        <w:rPr>
          <w:rFonts w:asciiTheme="majorHAnsi" w:hAnsiTheme="majorHAnsi" w:cs="Calibri"/>
          <w:sz w:val="24"/>
          <w:szCs w:val="24"/>
          <w:lang w:val="sl-SI"/>
        </w:rPr>
        <w:t>Prilogi 1 - »</w:t>
      </w:r>
      <w:r w:rsidR="0051271A" w:rsidRPr="00BC00BF">
        <w:rPr>
          <w:rFonts w:asciiTheme="majorHAnsi" w:hAnsiTheme="majorHAnsi" w:cs="Calibri"/>
          <w:sz w:val="24"/>
          <w:szCs w:val="24"/>
          <w:lang w:val="sl-SI"/>
        </w:rPr>
        <w:t>Program izvajanja koncesije</w:t>
      </w:r>
      <w:r w:rsidR="000439DC" w:rsidRPr="00BC00BF">
        <w:rPr>
          <w:rFonts w:asciiTheme="majorHAnsi" w:hAnsiTheme="majorHAnsi" w:cs="Calibri"/>
          <w:sz w:val="24"/>
          <w:szCs w:val="24"/>
          <w:lang w:val="sl-SI"/>
        </w:rPr>
        <w:t>«</w:t>
      </w:r>
    </w:p>
    <w:p w14:paraId="3E6BE327" w14:textId="72F957EC" w:rsidR="00474470" w:rsidRPr="00BC00BF" w:rsidRDefault="00474470" w:rsidP="0016652C">
      <w:pPr>
        <w:jc w:val="both"/>
        <w:rPr>
          <w:rFonts w:asciiTheme="majorHAnsi" w:hAnsiTheme="majorHAnsi" w:cs="Calibri"/>
          <w:sz w:val="24"/>
          <w:szCs w:val="24"/>
          <w:lang w:val="sl-SI"/>
        </w:rPr>
      </w:pPr>
      <w:r w:rsidRPr="00BC00BF">
        <w:rPr>
          <w:rFonts w:asciiTheme="majorHAnsi" w:hAnsiTheme="majorHAnsi" w:cs="Calibri"/>
          <w:sz w:val="24"/>
          <w:szCs w:val="24"/>
          <w:lang w:val="sl-SI"/>
        </w:rPr>
        <w:t>Prilagojena poraba energije</w:t>
      </w:r>
      <w:r w:rsidR="0016652C">
        <w:rPr>
          <w:rFonts w:asciiTheme="majorHAnsi" w:hAnsiTheme="majorHAnsi" w:cs="Calibri"/>
          <w:sz w:val="24"/>
          <w:szCs w:val="24"/>
          <w:lang w:val="sl-SI"/>
        </w:rPr>
        <w:t xml:space="preserve"> -</w:t>
      </w:r>
      <w:r w:rsidRPr="00BC00BF">
        <w:rPr>
          <w:rFonts w:asciiTheme="majorHAnsi" w:hAnsiTheme="majorHAnsi" w:cs="Calibri"/>
          <w:sz w:val="24"/>
          <w:szCs w:val="24"/>
          <w:lang w:val="sl-SI"/>
        </w:rPr>
        <w:tab/>
        <w:t>dejanska poraba, prilagojena gle</w:t>
      </w:r>
      <w:r w:rsidR="000439DC" w:rsidRPr="00BC00BF">
        <w:rPr>
          <w:rFonts w:asciiTheme="majorHAnsi" w:hAnsiTheme="majorHAnsi" w:cs="Calibri"/>
          <w:sz w:val="24"/>
          <w:szCs w:val="24"/>
          <w:lang w:val="sl-SI"/>
        </w:rPr>
        <w:t>de na spremembo uporabe objekta</w:t>
      </w:r>
    </w:p>
    <w:p w14:paraId="4BF6239D" w14:textId="1DB546C5" w:rsidR="00474470" w:rsidRPr="00BC00BF" w:rsidRDefault="00474470" w:rsidP="0016652C">
      <w:pPr>
        <w:ind w:left="2835" w:hanging="2835"/>
        <w:jc w:val="both"/>
        <w:rPr>
          <w:rFonts w:asciiTheme="majorHAnsi" w:hAnsiTheme="majorHAnsi" w:cs="Calibri"/>
          <w:sz w:val="24"/>
          <w:szCs w:val="24"/>
          <w:lang w:val="sl-SI"/>
        </w:rPr>
      </w:pPr>
      <w:r w:rsidRPr="00BC00BF">
        <w:rPr>
          <w:rFonts w:asciiTheme="majorHAnsi" w:hAnsiTheme="majorHAnsi" w:cs="Calibri"/>
          <w:sz w:val="24"/>
          <w:szCs w:val="24"/>
          <w:lang w:val="sl-SI"/>
        </w:rPr>
        <w:t>Raba energije za ogrevanje</w:t>
      </w:r>
      <w:r w:rsidR="0016652C">
        <w:rPr>
          <w:rFonts w:asciiTheme="majorHAnsi" w:hAnsiTheme="majorHAnsi" w:cs="Calibri"/>
          <w:sz w:val="24"/>
          <w:szCs w:val="24"/>
          <w:lang w:val="sl-SI"/>
        </w:rPr>
        <w:t xml:space="preserve"> - </w:t>
      </w:r>
      <w:r w:rsidRPr="00BC00BF">
        <w:rPr>
          <w:rFonts w:asciiTheme="majorHAnsi" w:hAnsiTheme="majorHAnsi" w:cs="Calibri"/>
          <w:sz w:val="24"/>
          <w:szCs w:val="24"/>
          <w:lang w:val="sl-SI"/>
        </w:rPr>
        <w:t>izmerjena poraba električne energije za pogon ogrevalnih sistemov in proizvodnjo toplote (</w:t>
      </w:r>
      <w:r w:rsidR="00CB64A9" w:rsidRPr="00BC00BF">
        <w:rPr>
          <w:rFonts w:asciiTheme="majorHAnsi" w:hAnsiTheme="majorHAnsi" w:cs="Calibri"/>
          <w:sz w:val="24"/>
          <w:szCs w:val="24"/>
          <w:lang w:val="sl-SI"/>
        </w:rPr>
        <w:t xml:space="preserve">TČ, </w:t>
      </w:r>
      <w:r w:rsidRPr="00BC00BF">
        <w:rPr>
          <w:rFonts w:asciiTheme="majorHAnsi" w:hAnsiTheme="majorHAnsi" w:cs="Calibri"/>
          <w:sz w:val="24"/>
          <w:szCs w:val="24"/>
          <w:lang w:val="sl-SI"/>
        </w:rPr>
        <w:t>kotlov na lesno biomaso,</w:t>
      </w:r>
      <w:r w:rsidR="00CB64A9" w:rsidRPr="00BC00BF">
        <w:rPr>
          <w:rFonts w:asciiTheme="majorHAnsi" w:hAnsiTheme="majorHAnsi" w:cs="Calibri"/>
          <w:sz w:val="24"/>
          <w:szCs w:val="24"/>
          <w:lang w:val="sl-SI"/>
        </w:rPr>
        <w:t xml:space="preserve"> obtočnih</w:t>
      </w:r>
      <w:r w:rsidRPr="00BC00BF">
        <w:rPr>
          <w:rFonts w:asciiTheme="majorHAnsi" w:hAnsiTheme="majorHAnsi" w:cs="Calibri"/>
          <w:sz w:val="24"/>
          <w:szCs w:val="24"/>
          <w:lang w:val="sl-SI"/>
        </w:rPr>
        <w:t xml:space="preserve"> črpalk, regulacije)</w:t>
      </w:r>
    </w:p>
    <w:p w14:paraId="55117151" w14:textId="219D8E7F" w:rsidR="00CB64A9" w:rsidRPr="00BC00BF" w:rsidRDefault="0016652C" w:rsidP="0016652C">
      <w:pPr>
        <w:jc w:val="both"/>
        <w:rPr>
          <w:rFonts w:asciiTheme="majorHAnsi" w:hAnsiTheme="majorHAnsi" w:cs="Calibri"/>
          <w:sz w:val="24"/>
          <w:szCs w:val="24"/>
          <w:lang w:val="sl-SI"/>
        </w:rPr>
      </w:pPr>
      <w:r>
        <w:rPr>
          <w:rFonts w:asciiTheme="majorHAnsi" w:hAnsiTheme="majorHAnsi" w:cs="Calibri"/>
          <w:sz w:val="24"/>
          <w:szCs w:val="24"/>
          <w:lang w:val="sl-SI"/>
        </w:rPr>
        <w:t xml:space="preserve">Referenčna cena energije - </w:t>
      </w:r>
      <w:r w:rsidR="00474470" w:rsidRPr="00BC00BF">
        <w:rPr>
          <w:rFonts w:asciiTheme="majorHAnsi" w:hAnsiTheme="majorHAnsi" w:cs="Calibri"/>
          <w:sz w:val="24"/>
          <w:szCs w:val="24"/>
          <w:lang w:val="sl-SI"/>
        </w:rPr>
        <w:t xml:space="preserve">cena </w:t>
      </w:r>
      <w:r w:rsidR="00CB64A9" w:rsidRPr="00BC00BF">
        <w:rPr>
          <w:rFonts w:asciiTheme="majorHAnsi" w:hAnsiTheme="majorHAnsi" w:cs="Calibri"/>
          <w:sz w:val="24"/>
          <w:szCs w:val="24"/>
          <w:lang w:val="sl-SI"/>
        </w:rPr>
        <w:t xml:space="preserve">električne </w:t>
      </w:r>
      <w:r w:rsidR="00474470" w:rsidRPr="00BC00BF">
        <w:rPr>
          <w:rFonts w:asciiTheme="majorHAnsi" w:hAnsiTheme="majorHAnsi" w:cs="Calibri"/>
          <w:sz w:val="24"/>
          <w:szCs w:val="24"/>
          <w:lang w:val="sl-SI"/>
        </w:rPr>
        <w:t xml:space="preserve">energije za objekt, določena v </w:t>
      </w:r>
      <w:r w:rsidR="000439DC" w:rsidRPr="00BC00BF">
        <w:rPr>
          <w:rFonts w:asciiTheme="majorHAnsi" w:hAnsiTheme="majorHAnsi" w:cs="Calibri"/>
          <w:sz w:val="24"/>
          <w:szCs w:val="24"/>
          <w:lang w:val="sl-SI"/>
        </w:rPr>
        <w:t>Prilogi 1 - »</w:t>
      </w:r>
      <w:r w:rsidR="0051271A" w:rsidRPr="00BC00BF">
        <w:rPr>
          <w:rFonts w:asciiTheme="majorHAnsi" w:hAnsiTheme="majorHAnsi" w:cs="Calibri"/>
          <w:sz w:val="24"/>
          <w:szCs w:val="24"/>
          <w:lang w:val="sl-SI"/>
        </w:rPr>
        <w:t>Program izvajanja koncesije</w:t>
      </w:r>
      <w:r w:rsidR="000439DC" w:rsidRPr="00BC00BF">
        <w:rPr>
          <w:rFonts w:asciiTheme="majorHAnsi" w:hAnsiTheme="majorHAnsi" w:cs="Calibri"/>
          <w:sz w:val="24"/>
          <w:szCs w:val="24"/>
          <w:lang w:val="sl-SI"/>
        </w:rPr>
        <w:t>«</w:t>
      </w:r>
    </w:p>
    <w:p w14:paraId="480B5123" w14:textId="3543D713" w:rsidR="008B0362" w:rsidRPr="00BC00BF" w:rsidRDefault="008B0362" w:rsidP="008B0362">
      <w:pPr>
        <w:jc w:val="both"/>
        <w:rPr>
          <w:rFonts w:asciiTheme="majorHAnsi" w:hAnsiTheme="majorHAnsi" w:cs="Calibri"/>
          <w:sz w:val="24"/>
          <w:szCs w:val="24"/>
          <w:lang w:val="sl-SI"/>
        </w:rPr>
      </w:pPr>
      <w:r w:rsidRPr="00BC00BF">
        <w:rPr>
          <w:rFonts w:asciiTheme="majorHAnsi" w:hAnsiTheme="majorHAnsi" w:cs="Calibri"/>
          <w:sz w:val="24"/>
          <w:szCs w:val="24"/>
          <w:lang w:val="sl-SI"/>
        </w:rPr>
        <w:t>Prihranek je razlika do tiste rabe energije, ki bi jo porabili, če ne bi izvedli določenega ukrepa. Za določen ukrep se določi prihranek na osnovi referenčnih količin rabe dovedene energije pred izvedbo ukrepa in merjene rabe po izvedbi ukrepa ob prilagoditvah parametrov, ki se spreminjajo glede na referenčno obdobje.</w:t>
      </w:r>
    </w:p>
    <w:p w14:paraId="621BA508" w14:textId="77777777" w:rsidR="008B0362" w:rsidRPr="00BC00BF" w:rsidRDefault="008B0362" w:rsidP="00474470">
      <w:pPr>
        <w:rPr>
          <w:rFonts w:asciiTheme="majorHAnsi" w:hAnsiTheme="majorHAnsi" w:cs="Calibri"/>
          <w:sz w:val="24"/>
          <w:szCs w:val="24"/>
          <w:lang w:val="sl-SI"/>
        </w:rPr>
      </w:pPr>
    </w:p>
    <w:p w14:paraId="19350A0B" w14:textId="46F4FA33" w:rsidR="000349A4" w:rsidRPr="00BC00BF" w:rsidRDefault="00F246DE" w:rsidP="00F246DE">
      <w:pPr>
        <w:pStyle w:val="Heading2"/>
        <w:rPr>
          <w:lang w:val="sl-SI"/>
        </w:rPr>
      </w:pPr>
      <w:r>
        <w:rPr>
          <w:lang w:val="sl-SI"/>
        </w:rPr>
        <w:lastRenderedPageBreak/>
        <w:t xml:space="preserve">6.2. </w:t>
      </w:r>
      <w:r w:rsidR="000349A4" w:rsidRPr="00BC00BF">
        <w:rPr>
          <w:lang w:val="sl-SI"/>
        </w:rPr>
        <w:t>Obračun in plačilo prihrankov</w:t>
      </w:r>
    </w:p>
    <w:p w14:paraId="22CF04C4" w14:textId="737DFD6B" w:rsidR="00474470" w:rsidRPr="00BC00BF" w:rsidRDefault="0051271A"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Za </w:t>
      </w:r>
      <w:r w:rsidR="00474470" w:rsidRPr="00BC00BF">
        <w:rPr>
          <w:rFonts w:asciiTheme="majorHAnsi" w:hAnsiTheme="majorHAnsi" w:cs="Calibri"/>
          <w:sz w:val="24"/>
          <w:szCs w:val="24"/>
          <w:lang w:val="sl-SI"/>
        </w:rPr>
        <w:t>vsako vrsto energije</w:t>
      </w:r>
      <w:r w:rsidRPr="00BC00BF">
        <w:rPr>
          <w:rFonts w:asciiTheme="majorHAnsi" w:hAnsiTheme="majorHAnsi" w:cs="Calibri"/>
          <w:sz w:val="24"/>
          <w:szCs w:val="24"/>
          <w:lang w:val="sl-SI"/>
        </w:rPr>
        <w:t xml:space="preserve"> se</w:t>
      </w:r>
      <w:r w:rsidR="00474470" w:rsidRPr="00BC00BF">
        <w:rPr>
          <w:rFonts w:asciiTheme="majorHAnsi" w:hAnsiTheme="majorHAnsi" w:cs="Calibri"/>
          <w:sz w:val="24"/>
          <w:szCs w:val="24"/>
          <w:lang w:val="sl-SI"/>
        </w:rPr>
        <w:t xml:space="preserve"> izračuna razlika med dejanskim in zajamčenim prihrankom.</w:t>
      </w:r>
    </w:p>
    <w:p w14:paraId="7AF69297" w14:textId="7BF6837D"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Izračuna se vsota vseh razlik med dejanskim in zajamčenim prihrankom </w:t>
      </w:r>
      <w:r w:rsidR="0051271A" w:rsidRPr="00BC00BF">
        <w:rPr>
          <w:rFonts w:asciiTheme="majorHAnsi" w:hAnsiTheme="majorHAnsi" w:cs="Calibri"/>
          <w:sz w:val="24"/>
          <w:szCs w:val="24"/>
          <w:lang w:val="sl-SI"/>
        </w:rPr>
        <w:t>za</w:t>
      </w:r>
      <w:r w:rsidRPr="00BC00BF">
        <w:rPr>
          <w:rFonts w:asciiTheme="majorHAnsi" w:hAnsiTheme="majorHAnsi" w:cs="Calibri"/>
          <w:sz w:val="24"/>
          <w:szCs w:val="24"/>
          <w:lang w:val="sl-SI"/>
        </w:rPr>
        <w:t xml:space="preserve"> vse vrste energije</w:t>
      </w:r>
      <w:r w:rsidR="00CB64A9" w:rsidRPr="00BC00BF">
        <w:rPr>
          <w:rFonts w:asciiTheme="majorHAnsi" w:hAnsiTheme="majorHAnsi" w:cs="Calibri"/>
          <w:sz w:val="24"/>
          <w:szCs w:val="24"/>
          <w:lang w:val="sl-SI"/>
        </w:rPr>
        <w:t xml:space="preserve"> skupaj</w:t>
      </w:r>
      <w:r w:rsidRPr="00BC00BF">
        <w:rPr>
          <w:rFonts w:asciiTheme="majorHAnsi" w:hAnsiTheme="majorHAnsi" w:cs="Calibri"/>
          <w:sz w:val="24"/>
          <w:szCs w:val="24"/>
          <w:lang w:val="sl-SI"/>
        </w:rPr>
        <w:t>.</w:t>
      </w:r>
    </w:p>
    <w:p w14:paraId="60629E51" w14:textId="4E67CF4C"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je razlika med </w:t>
      </w:r>
      <w:r w:rsidR="00CB64A9" w:rsidRPr="00BC00BF">
        <w:rPr>
          <w:rFonts w:asciiTheme="majorHAnsi" w:hAnsiTheme="majorHAnsi" w:cs="Calibri"/>
          <w:sz w:val="24"/>
          <w:szCs w:val="24"/>
          <w:lang w:val="sl-SI"/>
        </w:rPr>
        <w:t xml:space="preserve">skupnim </w:t>
      </w:r>
      <w:r w:rsidRPr="00BC00BF">
        <w:rPr>
          <w:rFonts w:asciiTheme="majorHAnsi" w:hAnsiTheme="majorHAnsi" w:cs="Calibri"/>
          <w:sz w:val="24"/>
          <w:szCs w:val="24"/>
          <w:lang w:val="sl-SI"/>
        </w:rPr>
        <w:t xml:space="preserve">dejanskim in zajamčenim prihrankom enaka nič, je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dosegel zajamčeni prihranek za določeno obračunsko dobo in </w:t>
      </w:r>
      <w:r w:rsidR="000439DC" w:rsidRPr="00BC00BF">
        <w:rPr>
          <w:rFonts w:asciiTheme="majorHAnsi" w:hAnsiTheme="majorHAnsi" w:cs="Calibri"/>
          <w:sz w:val="24"/>
          <w:szCs w:val="24"/>
          <w:lang w:val="sl-SI"/>
        </w:rPr>
        <w:t>mu pripada dogovorjeno plačilo.</w:t>
      </w:r>
    </w:p>
    <w:p w14:paraId="4260862E" w14:textId="77777777"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je razlika med dejanskim in zajamčenim prihrankom manjša od nič,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ni dosegel zajamčenega prihranka in je dolžan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u za ugotovljeno negativno razliko izstaviti dobropis.</w:t>
      </w:r>
    </w:p>
    <w:p w14:paraId="0C087D1D" w14:textId="77777777"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Dobropis se obračuna s plačili v naslednjem obračunskem obdobju.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 xml:space="preserve"> ima pravico zahtevati izplačilo dobropisa v primeru, da ga ni mogoče poračunati s plačili v naslednjih obračunskih obdobjih, pod pogojem, da je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dosegel negativni prihranek v dveh zaporednih obračunskih obdobjih.</w:t>
      </w:r>
    </w:p>
    <w:p w14:paraId="3CB47250" w14:textId="386C033C" w:rsidR="006E2D6F"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je razlika med dejanskim in zajamčenim prihrankom večja od nič, pripada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 xml:space="preserve">u </w:t>
      </w:r>
      <w:r w:rsidR="00CB2D56" w:rsidRPr="00BC00BF">
        <w:rPr>
          <w:rFonts w:asciiTheme="majorHAnsi" w:hAnsiTheme="majorHAnsi" w:cs="Calibri"/>
          <w:i/>
          <w:sz w:val="24"/>
          <w:szCs w:val="24"/>
          <w:lang w:val="sl-SI"/>
        </w:rPr>
        <w:t xml:space="preserve">50 </w:t>
      </w:r>
      <w:r w:rsidRPr="00BC00BF">
        <w:rPr>
          <w:rFonts w:asciiTheme="majorHAnsi" w:hAnsiTheme="majorHAnsi" w:cs="Calibri"/>
          <w:i/>
          <w:sz w:val="24"/>
          <w:szCs w:val="24"/>
          <w:lang w:val="sl-SI"/>
        </w:rPr>
        <w:t xml:space="preserve">% </w:t>
      </w:r>
      <w:r w:rsidRPr="00BC00BF">
        <w:rPr>
          <w:rFonts w:asciiTheme="majorHAnsi" w:hAnsiTheme="majorHAnsi" w:cs="Calibri"/>
          <w:sz w:val="24"/>
          <w:szCs w:val="24"/>
          <w:lang w:val="sl-SI"/>
        </w:rPr>
        <w:t>presežnega prihranka (brez DDV).</w:t>
      </w:r>
    </w:p>
    <w:p w14:paraId="71924A6A" w14:textId="3F2F5011" w:rsidR="006E2D6F" w:rsidRPr="00BC00BF" w:rsidRDefault="00F246DE" w:rsidP="00F246DE">
      <w:pPr>
        <w:pStyle w:val="Heading1"/>
        <w:rPr>
          <w:lang w:val="sl-SI"/>
        </w:rPr>
      </w:pPr>
      <w:r>
        <w:rPr>
          <w:lang w:val="sl-SI"/>
        </w:rPr>
        <w:t xml:space="preserve">7 </w:t>
      </w:r>
      <w:r w:rsidR="006E2D6F" w:rsidRPr="00BC00BF">
        <w:rPr>
          <w:lang w:val="sl-SI"/>
        </w:rPr>
        <w:t>PRILAGODITEV VREDNOSTI LETNE PORABE</w:t>
      </w:r>
      <w:r w:rsidR="003150A4" w:rsidRPr="00BC00BF">
        <w:rPr>
          <w:lang w:val="sl-SI"/>
        </w:rPr>
        <w:t xml:space="preserve"> </w:t>
      </w:r>
      <w:r w:rsidR="003150A4" w:rsidRPr="00F246DE">
        <w:t>ENERGIJE</w:t>
      </w:r>
    </w:p>
    <w:p w14:paraId="6801B5F7" w14:textId="77777777" w:rsidR="00CF4503" w:rsidRPr="00BC00BF" w:rsidRDefault="00CF4503" w:rsidP="006E2D6F">
      <w:pPr>
        <w:jc w:val="both"/>
        <w:rPr>
          <w:rFonts w:asciiTheme="majorHAnsi" w:hAnsiTheme="majorHAnsi" w:cs="Calibri"/>
          <w:sz w:val="24"/>
          <w:szCs w:val="24"/>
          <w:lang w:val="sl-SI"/>
        </w:rPr>
      </w:pPr>
    </w:p>
    <w:p w14:paraId="143DBF2B" w14:textId="151F7857"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Na osnovi meritev porabe energije ob koncu vsakega obračunskega obdobja se pridobi neprilagojena vrednost letne porabe energije in stroškov za to obračunsko obdobje za objekt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a, ki je predmet pogodbe.</w:t>
      </w:r>
    </w:p>
    <w:p w14:paraId="1FDB9570" w14:textId="4B52CDED"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Pri izračunu prilagoditve je potrebno zagotoviti, da se v izračun zajamejo samo tisti učinki prihranka, ki so neposredna posledica ukrepov za prihranek energije.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 xml:space="preserve"> in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pri tem ne smeta biti postavljena v slabši, niti ne v ugodnejši polož</w:t>
      </w:r>
      <w:r w:rsidR="00801124" w:rsidRPr="00BC00BF">
        <w:rPr>
          <w:rFonts w:asciiTheme="majorHAnsi" w:hAnsiTheme="majorHAnsi" w:cs="Calibri"/>
          <w:sz w:val="24"/>
          <w:szCs w:val="24"/>
          <w:lang w:val="sl-SI"/>
        </w:rPr>
        <w:t>aj.</w:t>
      </w:r>
    </w:p>
    <w:p w14:paraId="4600A1BC" w14:textId="6DE0E72F"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Neprilagojena vrednost letne porabe se bo zato po potrebi prilagodila zaradi spremembe uporabe objektov, ki so predmet pogodbe in klimatskih vrednosti. Prilagoditev vrednosti letne porabe lahko opravita pogodbeni stranki sporazumno</w:t>
      </w:r>
      <w:r w:rsidR="0090503C" w:rsidRPr="00BC00BF">
        <w:rPr>
          <w:rFonts w:asciiTheme="majorHAnsi" w:hAnsiTheme="majorHAnsi" w:cs="Calibri"/>
          <w:sz w:val="24"/>
          <w:szCs w:val="24"/>
          <w:lang w:val="sl-SI"/>
        </w:rPr>
        <w:t>. V kolikor sporazum ni mogoč</w:t>
      </w:r>
      <w:r w:rsidR="007E5570">
        <w:rPr>
          <w:rFonts w:asciiTheme="majorHAnsi" w:hAnsiTheme="majorHAnsi" w:cs="Calibri"/>
          <w:sz w:val="24"/>
          <w:szCs w:val="24"/>
          <w:lang w:val="sl-SI"/>
        </w:rPr>
        <w:t>,</w:t>
      </w:r>
      <w:r w:rsidR="0090503C" w:rsidRPr="00BC00BF">
        <w:rPr>
          <w:rFonts w:asciiTheme="majorHAnsi" w:hAnsiTheme="majorHAnsi" w:cs="Calibri"/>
          <w:sz w:val="24"/>
          <w:szCs w:val="24"/>
          <w:lang w:val="sl-SI"/>
        </w:rPr>
        <w:t xml:space="preserve"> prilagoditev opravi neodvisna institucija, ki jo ob sklenitvi pogo</w:t>
      </w:r>
      <w:r w:rsidR="00801124" w:rsidRPr="00BC00BF">
        <w:rPr>
          <w:rFonts w:asciiTheme="majorHAnsi" w:hAnsiTheme="majorHAnsi" w:cs="Calibri"/>
          <w:sz w:val="24"/>
          <w:szCs w:val="24"/>
          <w:lang w:val="sl-SI"/>
        </w:rPr>
        <w:t>dbe izbereta pogodbeni stranki.</w:t>
      </w:r>
    </w:p>
    <w:p w14:paraId="2662CE6A" w14:textId="3134F7E6" w:rsidR="00801124" w:rsidRDefault="00801124" w:rsidP="00801124">
      <w:pPr>
        <w:jc w:val="both"/>
        <w:rPr>
          <w:rFonts w:asciiTheme="majorHAnsi" w:hAnsiTheme="majorHAnsi" w:cs="Calibri"/>
          <w:sz w:val="24"/>
          <w:szCs w:val="24"/>
          <w:lang w:val="sl-SI"/>
        </w:rPr>
      </w:pPr>
      <w:r w:rsidRPr="00BC00BF">
        <w:rPr>
          <w:rFonts w:asciiTheme="majorHAnsi" w:hAnsiTheme="majorHAnsi" w:cs="Calibri"/>
          <w:sz w:val="24"/>
          <w:szCs w:val="24"/>
          <w:lang w:val="sl-SI"/>
        </w:rPr>
        <w:t>Koncesionar bo v skladu z ukr</w:t>
      </w:r>
      <w:r w:rsidR="0051271A" w:rsidRPr="00BC00BF">
        <w:rPr>
          <w:rFonts w:asciiTheme="majorHAnsi" w:hAnsiTheme="majorHAnsi" w:cs="Calibri"/>
          <w:sz w:val="24"/>
          <w:szCs w:val="24"/>
          <w:lang w:val="sl-SI"/>
        </w:rPr>
        <w:t>epi, predstavljenimi v Prilogi 1</w:t>
      </w:r>
      <w:r w:rsidRPr="00BC00BF">
        <w:rPr>
          <w:rFonts w:asciiTheme="majorHAnsi" w:hAnsiTheme="majorHAnsi" w:cs="Calibri"/>
          <w:sz w:val="24"/>
          <w:szCs w:val="24"/>
          <w:lang w:val="sl-SI"/>
        </w:rPr>
        <w:t xml:space="preserve"> </w:t>
      </w:r>
      <w:r w:rsidR="00AC559A" w:rsidRPr="00BC00BF">
        <w:rPr>
          <w:rFonts w:asciiTheme="majorHAnsi" w:hAnsiTheme="majorHAnsi" w:cs="Calibri"/>
          <w:sz w:val="24"/>
          <w:szCs w:val="24"/>
          <w:lang w:val="sl-SI"/>
        </w:rPr>
        <w:t>–</w:t>
      </w:r>
      <w:r w:rsidRPr="00BC00BF">
        <w:rPr>
          <w:rFonts w:asciiTheme="majorHAnsi" w:hAnsiTheme="majorHAnsi" w:cs="Calibri"/>
          <w:sz w:val="24"/>
          <w:szCs w:val="24"/>
          <w:lang w:val="sl-SI"/>
        </w:rPr>
        <w:t xml:space="preserve"> </w:t>
      </w:r>
      <w:r w:rsidR="00AC559A" w:rsidRPr="00BC00BF">
        <w:rPr>
          <w:rFonts w:asciiTheme="majorHAnsi" w:hAnsiTheme="majorHAnsi" w:cs="Calibri"/>
          <w:sz w:val="24"/>
          <w:szCs w:val="24"/>
          <w:lang w:val="sl-SI"/>
        </w:rPr>
        <w:t>»</w:t>
      </w:r>
      <w:r w:rsidRPr="00BC00BF">
        <w:rPr>
          <w:rFonts w:asciiTheme="majorHAnsi" w:hAnsiTheme="majorHAnsi" w:cs="Calibri"/>
          <w:sz w:val="24"/>
          <w:szCs w:val="24"/>
          <w:lang w:val="sl-SI"/>
        </w:rPr>
        <w:t>Program izvajanja koncesije</w:t>
      </w:r>
      <w:r w:rsidR="00AC559A" w:rsidRPr="00BC00BF">
        <w:rPr>
          <w:rFonts w:asciiTheme="majorHAnsi" w:hAnsiTheme="majorHAnsi" w:cs="Calibri"/>
          <w:sz w:val="24"/>
          <w:szCs w:val="24"/>
          <w:lang w:val="sl-SI"/>
        </w:rPr>
        <w:t>«</w:t>
      </w:r>
      <w:r w:rsidR="0051271A" w:rsidRPr="00BC00BF">
        <w:rPr>
          <w:rFonts w:asciiTheme="majorHAnsi" w:hAnsiTheme="majorHAnsi" w:cs="Calibri"/>
          <w:sz w:val="24"/>
          <w:szCs w:val="24"/>
          <w:lang w:val="sl-SI"/>
        </w:rPr>
        <w:t>, v obdobju od _______ do __________</w:t>
      </w:r>
      <w:r w:rsidRPr="00BC00BF">
        <w:rPr>
          <w:rFonts w:asciiTheme="majorHAnsi" w:hAnsiTheme="majorHAnsi" w:cs="Calibri"/>
          <w:sz w:val="24"/>
          <w:szCs w:val="24"/>
          <w:lang w:val="sl-SI"/>
        </w:rPr>
        <w:t>__ izvedel nedvoumno določanje porabe energije za določene objekte iz Priloge 1 - »</w:t>
      </w:r>
      <w:r w:rsidR="0051271A" w:rsidRPr="00BC00BF">
        <w:rPr>
          <w:rFonts w:asciiTheme="majorHAnsi" w:hAnsiTheme="majorHAnsi" w:cs="Calibri"/>
          <w:sz w:val="24"/>
          <w:szCs w:val="24"/>
          <w:lang w:val="sl-SI"/>
        </w:rPr>
        <w:t>Program izvajanja koncesije</w:t>
      </w:r>
      <w:r w:rsidRPr="00BC00BF">
        <w:rPr>
          <w:rFonts w:asciiTheme="majorHAnsi" w:hAnsiTheme="majorHAnsi" w:cs="Calibri"/>
          <w:sz w:val="24"/>
          <w:szCs w:val="24"/>
          <w:lang w:val="sl-SI"/>
        </w:rPr>
        <w:t xml:space="preserve">«. Če bo na podlagi teh ukrepov ugotovljena potreba po spremembi referenčnih količin, bosta koncedent in koncesionar te prilagoditve opravila sporazumno. Prilagoditve bosta uskladila najkasneje do </w:t>
      </w:r>
      <w:r w:rsidR="0051271A" w:rsidRPr="00BC00BF">
        <w:rPr>
          <w:rFonts w:asciiTheme="majorHAnsi" w:hAnsiTheme="majorHAnsi" w:cs="Calibri"/>
          <w:sz w:val="24"/>
          <w:szCs w:val="24"/>
          <w:lang w:val="sl-SI"/>
        </w:rPr>
        <w:t>__________.</w:t>
      </w:r>
    </w:p>
    <w:p w14:paraId="14894EE3" w14:textId="77777777" w:rsidR="007E5570" w:rsidRPr="00BC00BF" w:rsidRDefault="007E5570" w:rsidP="00801124">
      <w:pPr>
        <w:jc w:val="both"/>
        <w:rPr>
          <w:rFonts w:asciiTheme="majorHAnsi" w:hAnsiTheme="majorHAnsi" w:cs="Calibri"/>
          <w:sz w:val="24"/>
          <w:szCs w:val="24"/>
          <w:lang w:val="sl-SI"/>
        </w:rPr>
      </w:pPr>
    </w:p>
    <w:p w14:paraId="21497E0B" w14:textId="6811F8F9" w:rsidR="006E2D6F" w:rsidRPr="00BC00BF" w:rsidRDefault="007E5570" w:rsidP="007E5570">
      <w:pPr>
        <w:pStyle w:val="Heading2"/>
        <w:rPr>
          <w:lang w:val="sl-SI"/>
        </w:rPr>
      </w:pPr>
      <w:r>
        <w:rPr>
          <w:lang w:val="sl-SI"/>
        </w:rPr>
        <w:lastRenderedPageBreak/>
        <w:t xml:space="preserve">7.1. </w:t>
      </w:r>
      <w:r w:rsidR="006E2D6F" w:rsidRPr="00BC00BF">
        <w:rPr>
          <w:lang w:val="sl-SI"/>
        </w:rPr>
        <w:t>SPREMEMBA KLIMATSKIH VREDNOSTI</w:t>
      </w:r>
    </w:p>
    <w:p w14:paraId="4E8C29A4" w14:textId="5A34BE81"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referenčno obdobje se ob uporabi merskih vrednosti Agencije RS za posamezna območja določijo sledeče najbližje vremenske postaje:</w:t>
      </w:r>
    </w:p>
    <w:p w14:paraId="72265483"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438520EC" w14:textId="71C901D8" w:rsidR="00097176" w:rsidRPr="00BC00BF" w:rsidRDefault="00097176" w:rsidP="00097176">
      <w:pPr>
        <w:spacing w:after="0" w:line="240" w:lineRule="auto"/>
        <w:jc w:val="both"/>
        <w:rPr>
          <w:rFonts w:asciiTheme="majorHAnsi" w:eastAsia="Times New Roman" w:hAnsiTheme="majorHAnsi" w:cs="Calibri"/>
          <w:sz w:val="24"/>
          <w:szCs w:val="24"/>
          <w:u w:val="single"/>
          <w:lang w:val="sl-SI" w:eastAsia="sl-SI"/>
        </w:rPr>
      </w:pPr>
      <w:r w:rsidRPr="00BC00BF">
        <w:rPr>
          <w:rFonts w:asciiTheme="majorHAnsi" w:eastAsia="Times New Roman" w:hAnsiTheme="majorHAnsi" w:cs="Calibri"/>
          <w:sz w:val="24"/>
          <w:szCs w:val="24"/>
          <w:lang w:val="sl-SI" w:eastAsia="sl-SI"/>
        </w:rPr>
        <w:t xml:space="preserve">Podnebna vremenska postaja na lokaciji </w:t>
      </w:r>
      <w:r w:rsidRPr="00BC00BF">
        <w:rPr>
          <w:rFonts w:asciiTheme="majorHAnsi" w:eastAsia="Times New Roman" w:hAnsiTheme="majorHAnsi" w:cs="Calibri"/>
          <w:sz w:val="24"/>
          <w:szCs w:val="24"/>
          <w:u w:val="single"/>
          <w:lang w:val="sl-SI" w:eastAsia="sl-SI"/>
        </w:rPr>
        <w:t>Ptuj.</w:t>
      </w:r>
    </w:p>
    <w:p w14:paraId="654CD6F9"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4FDFF51C"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Določena referenčna vrednost temperaturnega primanjkljaja v vrednosti povprečja let 2012, 2013, 2014 in 2015 in 2016.</w:t>
      </w:r>
    </w:p>
    <w:p w14:paraId="50DEC7D9"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Temperaturni primanjkljaj (TD) je mesečna vsota dnevnih razlik zunanje temperature zraka med temperaturo 20 °C (razen za objekte, kjer je višja notranja temperatura predvidena že projektno – tam se upošteva le-ta) in povprečno dnevno temperaturo, če je ta manjša ali enaka 12 °C.</w:t>
      </w:r>
    </w:p>
    <w:p w14:paraId="0DA5B7C3"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298764D8"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obračunsko obdobje mora koncesionar pridobiti podatek o povprečnih dnevnih temperaturah od Agencije RS za okolje za relevantno območje.</w:t>
      </w:r>
    </w:p>
    <w:p w14:paraId="4A34845D"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5BC6D214"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Prilagoditev na TD se opravi samo za tisti del toplote, ki je bila porabljena za ogrevanje objektov. </w:t>
      </w:r>
    </w:p>
    <w:p w14:paraId="7576317D"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52557BA6"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Iz prilagoditve na TD se izločiti toplota, ki je bila porabljena v času ogrevalne sezone, ko je bila dnevna temperatura višja od 12°C, oziroma je bil dnevni temperaturni primanjkljaj enak 0 (TD=0). Iz celoletne vrednosti TD se dnevne vrednosti TD, v dnevih, ko koncesionar ni izvajal ogrevanja objekta ne upoštevajo. Ta postavka se upošteva v primeru, ko je število dni z TD enakim nič večje od 5% skupnega trajanja ogrevalne sezone.</w:t>
      </w:r>
    </w:p>
    <w:p w14:paraId="3475773B"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196BE9CD" w14:textId="77777777" w:rsidR="00097176"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Prilagoditev se smiselno izvede tudi v primeru hlajenja objekta.</w:t>
      </w:r>
    </w:p>
    <w:p w14:paraId="1C75342E" w14:textId="77777777" w:rsidR="007E5570" w:rsidRPr="00BC00BF" w:rsidRDefault="007E5570" w:rsidP="00097176">
      <w:pPr>
        <w:spacing w:after="0" w:line="240" w:lineRule="auto"/>
        <w:jc w:val="both"/>
        <w:rPr>
          <w:rFonts w:asciiTheme="majorHAnsi" w:eastAsia="Times New Roman" w:hAnsiTheme="majorHAnsi" w:cs="Calibri"/>
          <w:sz w:val="24"/>
          <w:szCs w:val="24"/>
          <w:lang w:val="sl-SI" w:eastAsia="sl-SI"/>
        </w:rPr>
      </w:pPr>
    </w:p>
    <w:p w14:paraId="7A393C28" w14:textId="0720389C" w:rsidR="006E2D6F" w:rsidRPr="00BC00BF" w:rsidRDefault="007E5570" w:rsidP="007E5570">
      <w:pPr>
        <w:pStyle w:val="Heading2"/>
        <w:rPr>
          <w:lang w:val="sl-SI"/>
        </w:rPr>
      </w:pPr>
      <w:r>
        <w:rPr>
          <w:lang w:val="sl-SI"/>
        </w:rPr>
        <w:t xml:space="preserve">7.2. </w:t>
      </w:r>
      <w:r w:rsidR="006E2D6F" w:rsidRPr="00BC00BF">
        <w:rPr>
          <w:lang w:val="sl-SI"/>
        </w:rPr>
        <w:t>SPREMEMBA UPORABE</w:t>
      </w:r>
      <w:r w:rsidR="005B1B96" w:rsidRPr="00BC00BF">
        <w:rPr>
          <w:lang w:val="sl-SI"/>
        </w:rPr>
        <w:t xml:space="preserve"> OBJEKT</w:t>
      </w:r>
      <w:r>
        <w:rPr>
          <w:lang w:val="sl-SI"/>
        </w:rPr>
        <w:t>A</w:t>
      </w:r>
    </w:p>
    <w:p w14:paraId="00C5CD96" w14:textId="7A287789"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Pri oceni spremembe uporabe </w:t>
      </w:r>
      <w:r w:rsidR="007E5570">
        <w:rPr>
          <w:rFonts w:asciiTheme="majorHAnsi" w:hAnsiTheme="majorHAnsi" w:cs="Calibri"/>
          <w:sz w:val="24"/>
          <w:szCs w:val="24"/>
          <w:lang w:val="sl-SI"/>
        </w:rPr>
        <w:t xml:space="preserve">objekta </w:t>
      </w:r>
      <w:r w:rsidRPr="00BC00BF">
        <w:rPr>
          <w:rFonts w:asciiTheme="majorHAnsi" w:hAnsiTheme="majorHAnsi" w:cs="Calibri"/>
          <w:sz w:val="24"/>
          <w:szCs w:val="24"/>
          <w:lang w:val="sl-SI"/>
        </w:rPr>
        <w:t>so izhodišče podatki iz Priloge</w:t>
      </w:r>
      <w:r w:rsidR="008638B5" w:rsidRPr="00BC00BF">
        <w:rPr>
          <w:rFonts w:asciiTheme="majorHAnsi" w:hAnsiTheme="majorHAnsi" w:cs="Calibri"/>
          <w:sz w:val="24"/>
          <w:szCs w:val="24"/>
          <w:lang w:val="sl-SI"/>
        </w:rPr>
        <w:t xml:space="preserve"> </w:t>
      </w:r>
      <w:r w:rsidR="00E418DD" w:rsidRPr="00BC00BF">
        <w:rPr>
          <w:rFonts w:asciiTheme="majorHAnsi" w:hAnsiTheme="majorHAnsi" w:cs="Calibri"/>
          <w:sz w:val="24"/>
          <w:szCs w:val="24"/>
          <w:lang w:val="sl-SI"/>
        </w:rPr>
        <w:t>1</w:t>
      </w:r>
      <w:r w:rsidR="008638B5" w:rsidRPr="00BC00BF">
        <w:rPr>
          <w:rFonts w:asciiTheme="majorHAnsi" w:hAnsiTheme="majorHAnsi" w:cs="Calibri"/>
          <w:sz w:val="24"/>
          <w:szCs w:val="24"/>
          <w:lang w:val="sl-SI"/>
        </w:rPr>
        <w:t xml:space="preserve"> - »</w:t>
      </w:r>
      <w:r w:rsidR="00097176" w:rsidRPr="00BC00BF">
        <w:rPr>
          <w:rFonts w:asciiTheme="majorHAnsi" w:hAnsiTheme="majorHAnsi" w:cs="Calibri"/>
          <w:sz w:val="24"/>
          <w:szCs w:val="24"/>
          <w:lang w:val="sl-SI"/>
        </w:rPr>
        <w:t>Program izvajanja koncesije</w:t>
      </w:r>
      <w:r w:rsidR="008638B5" w:rsidRPr="00BC00BF">
        <w:rPr>
          <w:rFonts w:asciiTheme="majorHAnsi" w:hAnsiTheme="majorHAnsi" w:cs="Calibri"/>
          <w:sz w:val="24"/>
          <w:szCs w:val="24"/>
          <w:lang w:val="sl-SI"/>
        </w:rPr>
        <w:t>«</w:t>
      </w:r>
      <w:r w:rsidRPr="00BC00BF">
        <w:rPr>
          <w:rFonts w:asciiTheme="majorHAnsi" w:hAnsiTheme="majorHAnsi" w:cs="Calibri"/>
          <w:sz w:val="24"/>
          <w:szCs w:val="24"/>
          <w:lang w:val="sl-SI"/>
        </w:rPr>
        <w:t xml:space="preserve">. Če se ti podatki spremenijo na pobudo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 xml:space="preserve">a ali če to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 xml:space="preserve"> dopusti, potem to ne bremeni izbranega ponudnika, niti ga ne postavlja v ugodnejši položaj. Zato se sprememba uporabe oceni z vidika </w:t>
      </w:r>
      <w:r w:rsidR="003150A4" w:rsidRPr="00BC00BF">
        <w:rPr>
          <w:rFonts w:asciiTheme="majorHAnsi" w:hAnsiTheme="majorHAnsi" w:cs="Calibri"/>
          <w:sz w:val="24"/>
          <w:szCs w:val="24"/>
          <w:lang w:val="sl-SI"/>
        </w:rPr>
        <w:t xml:space="preserve">bodisi </w:t>
      </w:r>
      <w:r w:rsidRPr="00BC00BF">
        <w:rPr>
          <w:rFonts w:asciiTheme="majorHAnsi" w:hAnsiTheme="majorHAnsi" w:cs="Calibri"/>
          <w:sz w:val="24"/>
          <w:szCs w:val="24"/>
          <w:lang w:val="sl-SI"/>
        </w:rPr>
        <w:t>spremembe referenčnih količin</w:t>
      </w:r>
      <w:r w:rsidR="003150A4" w:rsidRPr="00BC00BF">
        <w:rPr>
          <w:rFonts w:asciiTheme="majorHAnsi" w:hAnsiTheme="majorHAnsi" w:cs="Calibri"/>
          <w:sz w:val="24"/>
          <w:szCs w:val="24"/>
          <w:lang w:val="sl-SI"/>
        </w:rPr>
        <w:t xml:space="preserve"> ali novo</w:t>
      </w:r>
      <w:r w:rsidR="00435250" w:rsidRPr="00BC00BF">
        <w:rPr>
          <w:rFonts w:asciiTheme="majorHAnsi" w:hAnsiTheme="majorHAnsi" w:cs="Calibri"/>
          <w:sz w:val="24"/>
          <w:szCs w:val="24"/>
          <w:lang w:val="sl-SI"/>
        </w:rPr>
        <w:t xml:space="preserve"> </w:t>
      </w:r>
      <w:r w:rsidR="003150A4" w:rsidRPr="00BC00BF">
        <w:rPr>
          <w:rFonts w:asciiTheme="majorHAnsi" w:hAnsiTheme="majorHAnsi" w:cs="Calibri"/>
          <w:sz w:val="24"/>
          <w:szCs w:val="24"/>
          <w:lang w:val="sl-SI"/>
        </w:rPr>
        <w:t>pričakovane porabe</w:t>
      </w:r>
      <w:r w:rsidRPr="00BC00BF">
        <w:rPr>
          <w:rFonts w:asciiTheme="majorHAnsi" w:hAnsiTheme="majorHAnsi" w:cs="Calibri"/>
          <w:sz w:val="24"/>
          <w:szCs w:val="24"/>
          <w:lang w:val="sl-SI"/>
        </w:rPr>
        <w:t xml:space="preserve"> in prilagodi takoj, ko omenjena sprememba nastopi. Spremembe uporabe v tem smislu so med drugim naslednje:</w:t>
      </w:r>
    </w:p>
    <w:p w14:paraId="3F6C9B21" w14:textId="2E1C66FB" w:rsidR="006E2D6F" w:rsidRPr="007E5570" w:rsidRDefault="006E2D6F" w:rsidP="00097176">
      <w:pPr>
        <w:pStyle w:val="ListParagraph"/>
        <w:numPr>
          <w:ilvl w:val="0"/>
          <w:numId w:val="64"/>
        </w:numPr>
        <w:jc w:val="both"/>
        <w:rPr>
          <w:rFonts w:asciiTheme="majorHAnsi" w:hAnsiTheme="majorHAnsi" w:cs="Calibri"/>
          <w:sz w:val="24"/>
          <w:szCs w:val="24"/>
          <w:lang w:val="sl-SI"/>
        </w:rPr>
      </w:pPr>
      <w:r w:rsidRPr="007E5570">
        <w:rPr>
          <w:rFonts w:asciiTheme="majorHAnsi" w:hAnsiTheme="majorHAnsi" w:cs="Calibri"/>
          <w:sz w:val="24"/>
          <w:szCs w:val="24"/>
          <w:lang w:val="sl-SI"/>
        </w:rPr>
        <w:t xml:space="preserve">podaljšanje ali skrajšanje časa zasedenosti </w:t>
      </w:r>
      <w:r w:rsidR="007E5570">
        <w:rPr>
          <w:rFonts w:asciiTheme="majorHAnsi" w:hAnsiTheme="majorHAnsi" w:cs="Calibri"/>
          <w:sz w:val="24"/>
          <w:szCs w:val="24"/>
          <w:lang w:val="sl-SI"/>
        </w:rPr>
        <w:t>objekta</w:t>
      </w:r>
      <w:r w:rsidRPr="007E5570">
        <w:rPr>
          <w:rFonts w:asciiTheme="majorHAnsi" w:hAnsiTheme="majorHAnsi" w:cs="Calibri"/>
          <w:sz w:val="24"/>
          <w:szCs w:val="24"/>
          <w:lang w:val="sl-SI"/>
        </w:rPr>
        <w:t>, navedene</w:t>
      </w:r>
      <w:r w:rsidR="007E5570">
        <w:rPr>
          <w:rFonts w:asciiTheme="majorHAnsi" w:hAnsiTheme="majorHAnsi" w:cs="Calibri"/>
          <w:sz w:val="24"/>
          <w:szCs w:val="24"/>
          <w:lang w:val="sl-SI"/>
        </w:rPr>
        <w:t>ga</w:t>
      </w:r>
      <w:r w:rsidRPr="007E5570">
        <w:rPr>
          <w:rFonts w:asciiTheme="majorHAnsi" w:hAnsiTheme="majorHAnsi" w:cs="Calibri"/>
          <w:sz w:val="24"/>
          <w:szCs w:val="24"/>
          <w:lang w:val="sl-SI"/>
        </w:rPr>
        <w:t xml:space="preserve"> v Prilogi </w:t>
      </w:r>
      <w:r w:rsidR="008638B5" w:rsidRPr="007E5570">
        <w:rPr>
          <w:rFonts w:asciiTheme="majorHAnsi" w:hAnsiTheme="majorHAnsi" w:cs="Calibri"/>
          <w:sz w:val="24"/>
          <w:szCs w:val="24"/>
          <w:lang w:val="sl-SI"/>
        </w:rPr>
        <w:t>1 - »</w:t>
      </w:r>
      <w:r w:rsidR="00097176" w:rsidRPr="007E5570">
        <w:rPr>
          <w:rFonts w:asciiTheme="majorHAnsi" w:hAnsiTheme="majorHAnsi" w:cs="Calibri"/>
          <w:sz w:val="24"/>
          <w:szCs w:val="24"/>
          <w:lang w:val="sl-SI"/>
        </w:rPr>
        <w:t>Program izvajanja koncesije</w:t>
      </w:r>
      <w:r w:rsidR="008638B5" w:rsidRPr="007E5570">
        <w:rPr>
          <w:rFonts w:asciiTheme="majorHAnsi" w:hAnsiTheme="majorHAnsi" w:cs="Calibri"/>
          <w:sz w:val="24"/>
          <w:szCs w:val="24"/>
          <w:lang w:val="sl-SI"/>
        </w:rPr>
        <w:t>«</w:t>
      </w:r>
      <w:r w:rsidRPr="007E5570">
        <w:rPr>
          <w:rFonts w:asciiTheme="majorHAnsi" w:hAnsiTheme="majorHAnsi" w:cs="Calibri"/>
          <w:sz w:val="24"/>
          <w:szCs w:val="24"/>
          <w:lang w:val="sl-SI"/>
        </w:rPr>
        <w:t>,</w:t>
      </w:r>
    </w:p>
    <w:p w14:paraId="44881E33" w14:textId="77777777" w:rsidR="006E2D6F" w:rsidRPr="007E5570" w:rsidRDefault="006E2D6F" w:rsidP="00474470">
      <w:pPr>
        <w:pStyle w:val="ListParagraph"/>
        <w:numPr>
          <w:ilvl w:val="0"/>
          <w:numId w:val="64"/>
        </w:numPr>
        <w:jc w:val="both"/>
        <w:rPr>
          <w:rFonts w:asciiTheme="majorHAnsi" w:hAnsiTheme="majorHAnsi" w:cs="Calibri"/>
          <w:sz w:val="24"/>
          <w:szCs w:val="24"/>
          <w:lang w:val="sl-SI"/>
        </w:rPr>
      </w:pPr>
      <w:r w:rsidRPr="007E5570">
        <w:rPr>
          <w:rFonts w:asciiTheme="majorHAnsi" w:hAnsiTheme="majorHAnsi" w:cs="Calibri"/>
          <w:sz w:val="24"/>
          <w:szCs w:val="24"/>
          <w:lang w:val="sl-SI"/>
        </w:rPr>
        <w:t>naknadna vgradnja ali odstranitev naprav, aparatur ali druge opreme, ki imajo bistvene učinke povečanja ali zmanjšanja porabe energije,</w:t>
      </w:r>
    </w:p>
    <w:p w14:paraId="34FB6E55" w14:textId="3DA1A021" w:rsidR="006E2D6F" w:rsidRPr="007E5570" w:rsidRDefault="006E2D6F" w:rsidP="00474470">
      <w:pPr>
        <w:pStyle w:val="ListParagraph"/>
        <w:numPr>
          <w:ilvl w:val="0"/>
          <w:numId w:val="64"/>
        </w:numPr>
        <w:jc w:val="both"/>
        <w:rPr>
          <w:rFonts w:asciiTheme="majorHAnsi" w:hAnsiTheme="majorHAnsi" w:cs="Calibri"/>
          <w:sz w:val="24"/>
          <w:szCs w:val="24"/>
          <w:lang w:val="sl-SI"/>
        </w:rPr>
      </w:pPr>
      <w:r w:rsidRPr="007E5570">
        <w:rPr>
          <w:rFonts w:asciiTheme="majorHAnsi" w:hAnsiTheme="majorHAnsi" w:cs="Calibri"/>
          <w:sz w:val="24"/>
          <w:szCs w:val="24"/>
          <w:lang w:val="sl-SI"/>
        </w:rPr>
        <w:t xml:space="preserve">sprememba vrste uporabe </w:t>
      </w:r>
      <w:r w:rsidR="007E5570">
        <w:rPr>
          <w:rFonts w:asciiTheme="majorHAnsi" w:hAnsiTheme="majorHAnsi" w:cs="Calibri"/>
          <w:sz w:val="24"/>
          <w:szCs w:val="24"/>
          <w:lang w:val="sl-SI"/>
        </w:rPr>
        <w:t>objekta</w:t>
      </w:r>
      <w:r w:rsidRPr="007E5570">
        <w:rPr>
          <w:rFonts w:asciiTheme="majorHAnsi" w:hAnsiTheme="majorHAnsi" w:cs="Calibri"/>
          <w:sz w:val="24"/>
          <w:szCs w:val="24"/>
          <w:lang w:val="sl-SI"/>
        </w:rPr>
        <w:t>,</w:t>
      </w:r>
    </w:p>
    <w:p w14:paraId="2CC48A9F" w14:textId="2DA92039" w:rsidR="006E2D6F" w:rsidRPr="007E5570" w:rsidRDefault="006E2D6F" w:rsidP="00474470">
      <w:pPr>
        <w:pStyle w:val="ListParagraph"/>
        <w:numPr>
          <w:ilvl w:val="0"/>
          <w:numId w:val="64"/>
        </w:numPr>
        <w:jc w:val="both"/>
        <w:rPr>
          <w:rFonts w:asciiTheme="majorHAnsi" w:hAnsiTheme="majorHAnsi" w:cs="Calibri"/>
          <w:sz w:val="24"/>
          <w:szCs w:val="24"/>
          <w:lang w:val="sl-SI"/>
        </w:rPr>
      </w:pPr>
      <w:r w:rsidRPr="007E5570">
        <w:rPr>
          <w:rFonts w:asciiTheme="majorHAnsi" w:hAnsiTheme="majorHAnsi" w:cs="Calibri"/>
          <w:sz w:val="24"/>
          <w:szCs w:val="24"/>
          <w:lang w:val="sl-SI"/>
        </w:rPr>
        <w:lastRenderedPageBreak/>
        <w:t xml:space="preserve">povečanje/zmanjšanje površine </w:t>
      </w:r>
      <w:r w:rsidR="007E5570">
        <w:rPr>
          <w:rFonts w:asciiTheme="majorHAnsi" w:hAnsiTheme="majorHAnsi" w:cs="Calibri"/>
          <w:sz w:val="24"/>
          <w:szCs w:val="24"/>
          <w:lang w:val="sl-SI"/>
        </w:rPr>
        <w:t>objekta</w:t>
      </w:r>
      <w:r w:rsidRPr="007E5570">
        <w:rPr>
          <w:rFonts w:asciiTheme="majorHAnsi" w:hAnsiTheme="majorHAnsi" w:cs="Calibri"/>
          <w:sz w:val="24"/>
          <w:szCs w:val="24"/>
          <w:lang w:val="sl-SI"/>
        </w:rPr>
        <w:t>,</w:t>
      </w:r>
    </w:p>
    <w:p w14:paraId="0B06C424" w14:textId="77777777" w:rsidR="00491F0D" w:rsidRPr="007E5570" w:rsidRDefault="00491F0D" w:rsidP="00474470">
      <w:pPr>
        <w:pStyle w:val="ListParagraph"/>
        <w:numPr>
          <w:ilvl w:val="0"/>
          <w:numId w:val="64"/>
        </w:numPr>
        <w:jc w:val="both"/>
        <w:rPr>
          <w:rFonts w:asciiTheme="majorHAnsi" w:hAnsiTheme="majorHAnsi" w:cs="Calibri"/>
          <w:sz w:val="24"/>
          <w:szCs w:val="24"/>
          <w:lang w:val="sl-SI"/>
        </w:rPr>
      </w:pPr>
      <w:r w:rsidRPr="007E5570">
        <w:rPr>
          <w:rFonts w:asciiTheme="majorHAnsi" w:hAnsiTheme="majorHAnsi" w:cs="Calibri"/>
          <w:sz w:val="24"/>
          <w:szCs w:val="24"/>
          <w:lang w:val="sl-SI"/>
        </w:rPr>
        <w:t>zmanjšanje ali povečanje rabe STV ali bazenske vode,</w:t>
      </w:r>
    </w:p>
    <w:p w14:paraId="1D9F4C68" w14:textId="77777777" w:rsidR="006E2D6F" w:rsidRDefault="006E2D6F" w:rsidP="006E2D6F">
      <w:pPr>
        <w:pStyle w:val="ListParagraph"/>
        <w:numPr>
          <w:ilvl w:val="0"/>
          <w:numId w:val="64"/>
        </w:numPr>
        <w:jc w:val="both"/>
        <w:rPr>
          <w:rFonts w:asciiTheme="majorHAnsi" w:hAnsiTheme="majorHAnsi" w:cs="Calibri"/>
          <w:sz w:val="24"/>
          <w:szCs w:val="24"/>
          <w:lang w:val="sl-SI"/>
        </w:rPr>
      </w:pPr>
      <w:r w:rsidRPr="007E5570">
        <w:rPr>
          <w:rFonts w:asciiTheme="majorHAnsi" w:hAnsiTheme="majorHAnsi" w:cs="Calibri"/>
          <w:sz w:val="24"/>
          <w:szCs w:val="24"/>
          <w:lang w:val="sl-SI"/>
        </w:rPr>
        <w:t>prehod na drug energent.</w:t>
      </w:r>
    </w:p>
    <w:p w14:paraId="00121287" w14:textId="77777777" w:rsidR="00BD10FE" w:rsidRDefault="00BD10FE" w:rsidP="006E2D6F">
      <w:pPr>
        <w:jc w:val="both"/>
        <w:rPr>
          <w:rFonts w:asciiTheme="majorHAnsi" w:hAnsiTheme="majorHAnsi" w:cs="Calibri"/>
          <w:sz w:val="24"/>
          <w:szCs w:val="24"/>
          <w:lang w:val="sl-SI"/>
        </w:rPr>
      </w:pPr>
    </w:p>
    <w:p w14:paraId="0342F585" w14:textId="705F6A54"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Če nast</w:t>
      </w:r>
      <w:r w:rsidR="007E5570">
        <w:rPr>
          <w:rFonts w:asciiTheme="majorHAnsi" w:hAnsiTheme="majorHAnsi" w:cs="Calibri"/>
          <w:sz w:val="24"/>
          <w:szCs w:val="24"/>
          <w:lang w:val="sl-SI"/>
        </w:rPr>
        <w:t>opijo spremembe uporabe objekta</w:t>
      </w:r>
      <w:r w:rsidRPr="00BC00BF">
        <w:rPr>
          <w:rFonts w:asciiTheme="majorHAnsi" w:hAnsiTheme="majorHAnsi" w:cs="Calibri"/>
          <w:sz w:val="24"/>
          <w:szCs w:val="24"/>
          <w:lang w:val="sl-SI"/>
        </w:rPr>
        <w:t xml:space="preserve">, ki </w:t>
      </w:r>
      <w:r w:rsidR="007E5570">
        <w:rPr>
          <w:rFonts w:asciiTheme="majorHAnsi" w:hAnsiTheme="majorHAnsi" w:cs="Calibri"/>
          <w:sz w:val="24"/>
          <w:szCs w:val="24"/>
          <w:lang w:val="sl-SI"/>
        </w:rPr>
        <w:t>je</w:t>
      </w:r>
      <w:r w:rsidRPr="00BC00BF">
        <w:rPr>
          <w:rFonts w:asciiTheme="majorHAnsi" w:hAnsiTheme="majorHAnsi" w:cs="Calibri"/>
          <w:sz w:val="24"/>
          <w:szCs w:val="24"/>
          <w:lang w:val="sl-SI"/>
        </w:rPr>
        <w:t xml:space="preserve"> predmet pogodbe, </w:t>
      </w:r>
      <w:r w:rsidR="00491F0D"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w:t>
      </w:r>
      <w:r w:rsidR="00BD10FE">
        <w:rPr>
          <w:rFonts w:asciiTheme="majorHAnsi" w:hAnsiTheme="majorHAnsi" w:cs="Calibri"/>
          <w:sz w:val="24"/>
          <w:szCs w:val="24"/>
          <w:lang w:val="sl-SI"/>
        </w:rPr>
        <w:t>in koncedent skleneta dodatek h koncesijski pogodbi, v katerem se dogovorita za prilagoditev pogodbe na način, da se n</w:t>
      </w:r>
      <w:r w:rsidRPr="00BC00BF">
        <w:rPr>
          <w:rFonts w:asciiTheme="majorHAnsi" w:hAnsiTheme="majorHAnsi" w:cs="Calibri"/>
          <w:sz w:val="24"/>
          <w:szCs w:val="24"/>
          <w:lang w:val="sl-SI"/>
        </w:rPr>
        <w:t xml:space="preserve">a osnovi referenčnih količin iz Priloge </w:t>
      </w:r>
      <w:r w:rsidR="00E418DD" w:rsidRPr="00BC00BF">
        <w:rPr>
          <w:rFonts w:asciiTheme="majorHAnsi" w:hAnsiTheme="majorHAnsi" w:cs="Calibri"/>
          <w:sz w:val="24"/>
          <w:szCs w:val="24"/>
          <w:lang w:val="sl-SI"/>
        </w:rPr>
        <w:t>1</w:t>
      </w:r>
      <w:r w:rsidR="00891DBB" w:rsidRPr="00BC00BF">
        <w:rPr>
          <w:rFonts w:asciiTheme="majorHAnsi" w:hAnsiTheme="majorHAnsi" w:cs="Calibri"/>
          <w:sz w:val="24"/>
          <w:szCs w:val="24"/>
          <w:lang w:val="sl-SI"/>
        </w:rPr>
        <w:t xml:space="preserve"> - »</w:t>
      </w:r>
      <w:r w:rsidR="00097176" w:rsidRPr="00BC00BF">
        <w:rPr>
          <w:rFonts w:asciiTheme="majorHAnsi" w:hAnsiTheme="majorHAnsi" w:cs="Calibri"/>
          <w:sz w:val="24"/>
          <w:szCs w:val="24"/>
          <w:lang w:val="sl-SI"/>
        </w:rPr>
        <w:t>Program izvajanja koncesije</w:t>
      </w:r>
      <w:r w:rsidR="00891DBB" w:rsidRPr="00BC00BF">
        <w:rPr>
          <w:rFonts w:asciiTheme="majorHAnsi" w:hAnsiTheme="majorHAnsi" w:cs="Calibri"/>
          <w:sz w:val="24"/>
          <w:szCs w:val="24"/>
          <w:lang w:val="sl-SI"/>
        </w:rPr>
        <w:t>«</w:t>
      </w:r>
      <w:r w:rsidR="00BD10FE">
        <w:rPr>
          <w:rFonts w:asciiTheme="majorHAnsi" w:hAnsiTheme="majorHAnsi" w:cs="Calibri"/>
          <w:sz w:val="24"/>
          <w:szCs w:val="24"/>
          <w:lang w:val="sl-SI"/>
        </w:rPr>
        <w:t xml:space="preserve"> izvedejo tehnični izračuni, ki upoštevajo spremenjeno uporabo</w:t>
      </w:r>
      <w:r w:rsidR="00474470" w:rsidRPr="00BC00BF">
        <w:rPr>
          <w:rFonts w:asciiTheme="majorHAnsi" w:hAnsiTheme="majorHAnsi" w:cs="Calibri"/>
          <w:sz w:val="24"/>
          <w:szCs w:val="24"/>
          <w:lang w:val="sl-SI"/>
        </w:rPr>
        <w:t>:</w:t>
      </w:r>
    </w:p>
    <w:p w14:paraId="3AD1AA96" w14:textId="177F113A" w:rsidR="006E2D6F" w:rsidRPr="007E5570" w:rsidRDefault="006E2D6F" w:rsidP="00474470">
      <w:pPr>
        <w:pStyle w:val="ListParagraph"/>
        <w:numPr>
          <w:ilvl w:val="0"/>
          <w:numId w:val="65"/>
        </w:numPr>
        <w:jc w:val="both"/>
        <w:rPr>
          <w:rFonts w:asciiTheme="majorHAnsi" w:hAnsiTheme="majorHAnsi" w:cs="Calibri"/>
          <w:sz w:val="24"/>
          <w:szCs w:val="24"/>
          <w:lang w:val="sl-SI"/>
        </w:rPr>
      </w:pPr>
      <w:r w:rsidRPr="007E5570">
        <w:rPr>
          <w:rFonts w:asciiTheme="majorHAnsi" w:hAnsiTheme="majorHAnsi" w:cs="Calibri"/>
          <w:sz w:val="24"/>
          <w:szCs w:val="24"/>
          <w:lang w:val="sl-SI"/>
        </w:rPr>
        <w:t>z ozirom na morebitne spremembe potrebe po ogrevanju, hlajenju in/ali prezračevanju prostora in sanitarni topli vodi</w:t>
      </w:r>
      <w:r w:rsidR="00BD10FE">
        <w:rPr>
          <w:rFonts w:asciiTheme="majorHAnsi" w:hAnsiTheme="majorHAnsi" w:cs="Calibri"/>
          <w:sz w:val="24"/>
          <w:szCs w:val="24"/>
          <w:lang w:val="sl-SI"/>
        </w:rPr>
        <w:t>,</w:t>
      </w:r>
      <w:r w:rsidRPr="007E5570">
        <w:rPr>
          <w:rFonts w:asciiTheme="majorHAnsi" w:hAnsiTheme="majorHAnsi" w:cs="Calibri"/>
          <w:sz w:val="24"/>
          <w:szCs w:val="24"/>
          <w:lang w:val="sl-SI"/>
        </w:rPr>
        <w:t xml:space="preserve"> </w:t>
      </w:r>
      <w:r w:rsidR="00AA0C66" w:rsidRPr="007E5570">
        <w:rPr>
          <w:rFonts w:asciiTheme="majorHAnsi" w:hAnsiTheme="majorHAnsi" w:cs="Calibri"/>
          <w:sz w:val="24"/>
          <w:szCs w:val="24"/>
          <w:lang w:val="sl-SI"/>
        </w:rPr>
        <w:t>koncedent</w:t>
      </w:r>
      <w:r w:rsidRPr="007E5570">
        <w:rPr>
          <w:rFonts w:asciiTheme="majorHAnsi" w:hAnsiTheme="majorHAnsi" w:cs="Calibri"/>
          <w:sz w:val="24"/>
          <w:szCs w:val="24"/>
          <w:lang w:val="sl-SI"/>
        </w:rPr>
        <w:t xml:space="preserve"> in </w:t>
      </w:r>
      <w:r w:rsidR="00AA0C66" w:rsidRPr="007E5570">
        <w:rPr>
          <w:rFonts w:asciiTheme="majorHAnsi" w:hAnsiTheme="majorHAnsi" w:cs="Calibri"/>
          <w:sz w:val="24"/>
          <w:szCs w:val="24"/>
          <w:lang w:val="sl-SI"/>
        </w:rPr>
        <w:t>koncesionar</w:t>
      </w:r>
      <w:r w:rsidRPr="007E5570">
        <w:rPr>
          <w:rFonts w:asciiTheme="majorHAnsi" w:hAnsiTheme="majorHAnsi" w:cs="Calibri"/>
          <w:sz w:val="24"/>
          <w:szCs w:val="24"/>
          <w:lang w:val="sl-SI"/>
        </w:rPr>
        <w:t xml:space="preserve"> skladno z ustreznim standardom ocenita potrebno količino energije za ogrevanje, hlajenje in/ali prezračevanje ter</w:t>
      </w:r>
      <w:r w:rsidR="00474470" w:rsidRPr="007E5570">
        <w:rPr>
          <w:rFonts w:asciiTheme="majorHAnsi" w:hAnsiTheme="majorHAnsi" w:cs="Calibri"/>
          <w:sz w:val="24"/>
          <w:szCs w:val="24"/>
          <w:lang w:val="sl-SI"/>
        </w:rPr>
        <w:t xml:space="preserve"> pripravo sanitarne tople vode</w:t>
      </w:r>
      <w:r w:rsidR="00491F0D" w:rsidRPr="007E5570">
        <w:rPr>
          <w:rFonts w:asciiTheme="majorHAnsi" w:hAnsiTheme="majorHAnsi" w:cs="Calibri"/>
          <w:sz w:val="24"/>
          <w:szCs w:val="24"/>
          <w:lang w:val="sl-SI"/>
        </w:rPr>
        <w:t xml:space="preserve"> oz. bazenske vode</w:t>
      </w:r>
      <w:r w:rsidR="00474470" w:rsidRPr="007E5570">
        <w:rPr>
          <w:rFonts w:asciiTheme="majorHAnsi" w:hAnsiTheme="majorHAnsi" w:cs="Calibri"/>
          <w:sz w:val="24"/>
          <w:szCs w:val="24"/>
          <w:lang w:val="sl-SI"/>
        </w:rPr>
        <w:t>,</w:t>
      </w:r>
    </w:p>
    <w:p w14:paraId="188A09F9" w14:textId="1181BFB9" w:rsidR="006E2D6F" w:rsidRDefault="006E2D6F" w:rsidP="006E2D6F">
      <w:pPr>
        <w:pStyle w:val="ListParagraph"/>
        <w:numPr>
          <w:ilvl w:val="0"/>
          <w:numId w:val="65"/>
        </w:numPr>
        <w:jc w:val="both"/>
        <w:rPr>
          <w:rFonts w:asciiTheme="majorHAnsi" w:hAnsiTheme="majorHAnsi" w:cs="Calibri"/>
          <w:sz w:val="24"/>
          <w:szCs w:val="24"/>
          <w:lang w:val="sl-SI"/>
        </w:rPr>
      </w:pPr>
      <w:r w:rsidRPr="007E5570">
        <w:rPr>
          <w:rFonts w:asciiTheme="majorHAnsi" w:hAnsiTheme="majorHAnsi" w:cs="Calibri"/>
          <w:sz w:val="24"/>
          <w:szCs w:val="24"/>
          <w:lang w:val="sl-SI"/>
        </w:rPr>
        <w:t>z ozirom na morebitne spremembe potrebe po električni energiji zaradi dodatno vgrajenih porabnikov</w:t>
      </w:r>
      <w:r w:rsidR="00BD10FE">
        <w:rPr>
          <w:rFonts w:asciiTheme="majorHAnsi" w:hAnsiTheme="majorHAnsi" w:cs="Calibri"/>
          <w:sz w:val="24"/>
          <w:szCs w:val="24"/>
          <w:lang w:val="sl-SI"/>
        </w:rPr>
        <w:t>,</w:t>
      </w:r>
      <w:r w:rsidRPr="007E5570">
        <w:rPr>
          <w:rFonts w:asciiTheme="majorHAnsi" w:hAnsiTheme="majorHAnsi" w:cs="Calibri"/>
          <w:sz w:val="24"/>
          <w:szCs w:val="24"/>
          <w:lang w:val="sl-SI"/>
        </w:rPr>
        <w:t xml:space="preserve"> </w:t>
      </w:r>
      <w:r w:rsidR="00AA0C66" w:rsidRPr="007E5570">
        <w:rPr>
          <w:rFonts w:asciiTheme="majorHAnsi" w:hAnsiTheme="majorHAnsi" w:cs="Calibri"/>
          <w:sz w:val="24"/>
          <w:szCs w:val="24"/>
          <w:lang w:val="sl-SI"/>
        </w:rPr>
        <w:t>koncedent</w:t>
      </w:r>
      <w:r w:rsidRPr="007E5570">
        <w:rPr>
          <w:rFonts w:asciiTheme="majorHAnsi" w:hAnsiTheme="majorHAnsi" w:cs="Calibri"/>
          <w:sz w:val="24"/>
          <w:szCs w:val="24"/>
          <w:lang w:val="sl-SI"/>
        </w:rPr>
        <w:t xml:space="preserve"> in </w:t>
      </w:r>
      <w:r w:rsidR="00AA0C66" w:rsidRPr="007E5570">
        <w:rPr>
          <w:rFonts w:asciiTheme="majorHAnsi" w:hAnsiTheme="majorHAnsi" w:cs="Calibri"/>
          <w:sz w:val="24"/>
          <w:szCs w:val="24"/>
          <w:lang w:val="sl-SI"/>
        </w:rPr>
        <w:t>koncesionar</w:t>
      </w:r>
      <w:r w:rsidRPr="007E5570">
        <w:rPr>
          <w:rFonts w:asciiTheme="majorHAnsi" w:hAnsiTheme="majorHAnsi" w:cs="Calibri"/>
          <w:sz w:val="24"/>
          <w:szCs w:val="24"/>
          <w:lang w:val="sl-SI"/>
        </w:rPr>
        <w:t xml:space="preserve"> sporazumno ocenita predvideno trajanje uporabe aparature ob upoštevanju časa zasedenosti objekta, ki </w:t>
      </w:r>
      <w:r w:rsidR="00BD10FE">
        <w:rPr>
          <w:rFonts w:asciiTheme="majorHAnsi" w:hAnsiTheme="majorHAnsi" w:cs="Calibri"/>
          <w:sz w:val="24"/>
          <w:szCs w:val="24"/>
          <w:lang w:val="sl-SI"/>
        </w:rPr>
        <w:t>je</w:t>
      </w:r>
      <w:r w:rsidRPr="007E5570">
        <w:rPr>
          <w:rFonts w:asciiTheme="majorHAnsi" w:hAnsiTheme="majorHAnsi" w:cs="Calibri"/>
          <w:sz w:val="24"/>
          <w:szCs w:val="24"/>
          <w:lang w:val="sl-SI"/>
        </w:rPr>
        <w:t xml:space="preserve"> predmet pogodbe ter na podlagi nazivne moči posamezne aparature in referenčnih cen za elektriko izračunata delež spremenjene porabe, za katerega je potrebno prilagoditi njegovo neprilagojeno vrednost letne porabe.</w:t>
      </w:r>
    </w:p>
    <w:p w14:paraId="494526D4" w14:textId="77777777" w:rsidR="00BD10FE" w:rsidRDefault="00BD10FE" w:rsidP="006E2D6F">
      <w:pPr>
        <w:jc w:val="both"/>
        <w:rPr>
          <w:rFonts w:asciiTheme="majorHAnsi" w:hAnsiTheme="majorHAnsi" w:cs="Calibri"/>
          <w:sz w:val="24"/>
          <w:szCs w:val="24"/>
          <w:lang w:val="sl-SI"/>
        </w:rPr>
      </w:pPr>
    </w:p>
    <w:p w14:paraId="02AD58E6" w14:textId="2DAC6255"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Če gre za trajno spremembo uporabe,</w:t>
      </w:r>
      <w:r w:rsidR="00BD10FE">
        <w:rPr>
          <w:rFonts w:asciiTheme="majorHAnsi" w:hAnsiTheme="majorHAnsi" w:cs="Calibri"/>
          <w:sz w:val="24"/>
          <w:szCs w:val="24"/>
          <w:lang w:val="sl-SI"/>
        </w:rPr>
        <w:t xml:space="preserve"> koncedent in koncesionar v okviru dodatka h koncesijski pogodbi glede na izvedene tehnične izračune, ki upoštevajo spremenjeno uporabo, ustrezno spremenita izhodiščne referenčne količine </w:t>
      </w:r>
      <w:r w:rsidRPr="00BC00BF">
        <w:rPr>
          <w:rFonts w:asciiTheme="majorHAnsi" w:hAnsiTheme="majorHAnsi" w:cs="Calibri"/>
          <w:sz w:val="24"/>
          <w:szCs w:val="24"/>
          <w:lang w:val="sl-SI"/>
        </w:rPr>
        <w:t xml:space="preserve">iz Priloge </w:t>
      </w:r>
      <w:r w:rsidR="00E418DD" w:rsidRPr="00BC00BF">
        <w:rPr>
          <w:rFonts w:asciiTheme="majorHAnsi" w:hAnsiTheme="majorHAnsi" w:cs="Calibri"/>
          <w:sz w:val="24"/>
          <w:szCs w:val="24"/>
          <w:lang w:val="sl-SI"/>
        </w:rPr>
        <w:t>1</w:t>
      </w:r>
      <w:r w:rsidR="00891DBB" w:rsidRPr="00BC00BF">
        <w:rPr>
          <w:rFonts w:asciiTheme="majorHAnsi" w:hAnsiTheme="majorHAnsi" w:cs="Calibri"/>
          <w:sz w:val="24"/>
          <w:szCs w:val="24"/>
          <w:lang w:val="sl-SI"/>
        </w:rPr>
        <w:t xml:space="preserve"> - »</w:t>
      </w:r>
      <w:r w:rsidR="00097176" w:rsidRPr="00BC00BF">
        <w:rPr>
          <w:rFonts w:asciiTheme="majorHAnsi" w:hAnsiTheme="majorHAnsi" w:cs="Calibri"/>
          <w:sz w:val="24"/>
          <w:szCs w:val="24"/>
          <w:lang w:val="sl-SI"/>
        </w:rPr>
        <w:t>Program izvajanja koncesije</w:t>
      </w:r>
      <w:r w:rsidR="00891DBB" w:rsidRPr="00BC00BF">
        <w:rPr>
          <w:rFonts w:asciiTheme="majorHAnsi" w:hAnsiTheme="majorHAnsi" w:cs="Calibri"/>
          <w:sz w:val="24"/>
          <w:szCs w:val="24"/>
          <w:lang w:val="sl-SI"/>
        </w:rPr>
        <w:t>«</w:t>
      </w:r>
      <w:r w:rsidR="00BD10FE">
        <w:rPr>
          <w:rFonts w:asciiTheme="majorHAnsi" w:hAnsiTheme="majorHAnsi" w:cs="Calibri"/>
          <w:sz w:val="24"/>
          <w:szCs w:val="24"/>
          <w:lang w:val="sl-SI"/>
        </w:rPr>
        <w:t>,</w:t>
      </w:r>
      <w:r w:rsidR="00E418DD" w:rsidRPr="00BC00BF">
        <w:rPr>
          <w:rFonts w:asciiTheme="majorHAnsi" w:hAnsiTheme="majorHAnsi" w:cs="Calibri"/>
          <w:sz w:val="24"/>
          <w:szCs w:val="24"/>
          <w:lang w:val="sl-SI"/>
        </w:rPr>
        <w:t xml:space="preserve"> </w:t>
      </w:r>
      <w:r w:rsidRPr="00BC00BF">
        <w:rPr>
          <w:rFonts w:asciiTheme="majorHAnsi" w:hAnsiTheme="majorHAnsi" w:cs="Calibri"/>
          <w:sz w:val="24"/>
          <w:szCs w:val="24"/>
          <w:lang w:val="sl-SI"/>
        </w:rPr>
        <w:t xml:space="preserve">v skladu s prej navedenimi </w:t>
      </w:r>
      <w:r w:rsidR="00474470" w:rsidRPr="00BC00BF">
        <w:rPr>
          <w:rFonts w:asciiTheme="majorHAnsi" w:hAnsiTheme="majorHAnsi" w:cs="Calibri"/>
          <w:sz w:val="24"/>
          <w:szCs w:val="24"/>
          <w:lang w:val="sl-SI"/>
        </w:rPr>
        <w:t>načeli za bodoče obračunavanje.</w:t>
      </w:r>
    </w:p>
    <w:p w14:paraId="4F380EF3" w14:textId="77777777" w:rsidR="006E2D6F" w:rsidRPr="00BC00BF" w:rsidRDefault="006E2D6F" w:rsidP="00474470">
      <w:pPr>
        <w:jc w:val="both"/>
        <w:rPr>
          <w:rFonts w:asciiTheme="majorHAnsi" w:hAnsiTheme="majorHAnsi" w:cs="Calibri"/>
          <w:sz w:val="24"/>
          <w:szCs w:val="24"/>
          <w:lang w:val="sl-SI"/>
        </w:rPr>
      </w:pPr>
      <w:r w:rsidRPr="00BC00BF">
        <w:rPr>
          <w:rFonts w:asciiTheme="majorHAnsi" w:hAnsiTheme="majorHAnsi" w:cs="Calibri"/>
          <w:sz w:val="24"/>
          <w:szCs w:val="24"/>
          <w:lang w:val="sl-SI"/>
        </w:rPr>
        <w:t>Pri izračunu prihrankov se upoštevajo samo objekti, kjer so bili izvedeni ukrepi po pogodbi predmetnega javnega razpisa.</w:t>
      </w:r>
    </w:p>
    <w:p w14:paraId="50E6435F" w14:textId="22100802" w:rsidR="00B14FDD" w:rsidRPr="00BC00BF" w:rsidRDefault="00491F0D" w:rsidP="00BA535A">
      <w:pPr>
        <w:jc w:val="both"/>
        <w:rPr>
          <w:rFonts w:asciiTheme="majorHAnsi" w:hAnsiTheme="majorHAnsi" w:cs="Calibri"/>
          <w:sz w:val="24"/>
          <w:szCs w:val="24"/>
          <w:lang w:val="sl-SI"/>
        </w:rPr>
      </w:pPr>
      <w:r w:rsidRPr="00BC00BF">
        <w:rPr>
          <w:rFonts w:asciiTheme="majorHAnsi" w:hAnsiTheme="majorHAnsi" w:cs="Calibri"/>
          <w:sz w:val="24"/>
          <w:szCs w:val="24"/>
          <w:lang w:val="sl-SI"/>
        </w:rPr>
        <w:t>V kolikor ni možno doseči soglasja oz. sporazuma glede prilagoditvenega izračuna, predlog pripravi arbiter, ki ga pogodbeni stranki določita v pogodbi</w:t>
      </w:r>
      <w:r w:rsidR="00BE2206" w:rsidRPr="00BC00BF">
        <w:rPr>
          <w:rFonts w:asciiTheme="majorHAnsi" w:hAnsiTheme="majorHAnsi" w:cs="Calibri"/>
          <w:sz w:val="24"/>
          <w:szCs w:val="24"/>
          <w:lang w:val="sl-SI"/>
        </w:rPr>
        <w:t>, prilagoditveni izračun pa morata potrditi obe pogodbeni stranki sporazumno.</w:t>
      </w:r>
    </w:p>
    <w:sectPr w:rsidR="00B14FDD" w:rsidRPr="00BC00BF" w:rsidSect="00806EC7">
      <w:headerReference w:type="default" r:id="rId9"/>
      <w:footerReference w:type="even" r:id="rId10"/>
      <w:footerReference w:type="default" r:id="rId11"/>
      <w:footerReference w:type="first" r:id="rId12"/>
      <w:pgSz w:w="12240" w:h="15840"/>
      <w:pgMar w:top="1843" w:right="1440" w:bottom="1135" w:left="1440" w:header="720" w:footer="720" w:gutter="0"/>
      <w:pgNumType w:fmt="numberInDash"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13B51" w14:textId="77777777" w:rsidR="00526D02" w:rsidRDefault="00526D02" w:rsidP="006364E5">
      <w:pPr>
        <w:spacing w:after="0" w:line="240" w:lineRule="auto"/>
      </w:pPr>
      <w:r>
        <w:separator/>
      </w:r>
    </w:p>
  </w:endnote>
  <w:endnote w:type="continuationSeparator" w:id="0">
    <w:p w14:paraId="2B7B14E1" w14:textId="77777777" w:rsidR="00526D02" w:rsidRDefault="00526D02"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Segoe UI">
    <w:charset w:val="EE"/>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3718" w14:textId="77777777" w:rsidR="00BC00BF" w:rsidRDefault="00BC00BF" w:rsidP="0024019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31D0E" w14:textId="77777777" w:rsidR="00BC00BF" w:rsidRDefault="00BC00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8155" w14:textId="4185CA9A" w:rsidR="00BC00BF" w:rsidRPr="00806EC7" w:rsidRDefault="00806EC7" w:rsidP="00806EC7">
    <w:pPr>
      <w:pStyle w:val="NoSpacing"/>
      <w:spacing w:before="240"/>
      <w:rPr>
        <w:color w:val="162F33" w:themeColor="text2"/>
        <w:spacing w:val="10"/>
        <w:sz w:val="30"/>
        <w:szCs w:val="30"/>
      </w:rPr>
    </w:pPr>
    <w:r>
      <w:rPr>
        <w:sz w:val="16"/>
        <w:szCs w:val="16"/>
      </w:rPr>
      <w:t xml:space="preserve">RAZPISNA </w:t>
    </w:r>
    <w:r w:rsidRPr="003C06A4">
      <w:rPr>
        <w:sz w:val="16"/>
        <w:szCs w:val="16"/>
      </w:rPr>
      <w:t>DOKUMENTACIJA ZA PODELITEV KONCESIJE ZA IZVEDBO PROJEKTA CELOVITE ENERGETSKE PRENOVE JAVNIH OBJEKTOV V LASTI OBČIN DORNAVA, KIDRIČEVO, POLJČANE, SVETA TROJICA V SLOVENSKIH GORICAH IN TRNOVSKA VAS</w:t>
    </w:r>
    <w:r>
      <w:rPr>
        <w:noProof/>
        <w:sz w:val="14"/>
        <w:szCs w:val="14"/>
        <w:lang w:val="en-GB" w:eastAsia="en-GB"/>
      </w:rPr>
      <w:t xml:space="preserve"> </w:t>
    </w:r>
    <w:r>
      <w:rPr>
        <w:noProof/>
        <w:sz w:val="14"/>
        <w:szCs w:val="14"/>
        <w:lang w:val="en-GB" w:eastAsia="en-GB"/>
      </w:rPr>
      <w:drawing>
        <wp:anchor distT="0" distB="0" distL="114300" distR="114300" simplePos="0" relativeHeight="251661312" behindDoc="0" locked="0" layoutInCell="1" allowOverlap="1" wp14:anchorId="2E32E8F0" wp14:editId="3D2D5C51">
          <wp:simplePos x="0" y="0"/>
          <wp:positionH relativeFrom="column">
            <wp:posOffset>3658235</wp:posOffset>
          </wp:positionH>
          <wp:positionV relativeFrom="paragraph">
            <wp:posOffset>-13335</wp:posOffset>
          </wp:positionV>
          <wp:extent cx="1909445" cy="6985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ogo_KS_2014-2020.jpg"/>
                  <pic:cNvPicPr/>
                </pic:nvPicPr>
                <pic:blipFill>
                  <a:blip r:embed="rId1">
                    <a:extLst>
                      <a:ext uri="{28A0092B-C50C-407E-A947-70E740481C1C}">
                        <a14:useLocalDpi xmlns:a14="http://schemas.microsoft.com/office/drawing/2010/main" val="0"/>
                      </a:ext>
                    </a:extLst>
                  </a:blip>
                  <a:stretch>
                    <a:fillRect/>
                  </a:stretch>
                </pic:blipFill>
                <pic:spPr>
                  <a:xfrm>
                    <a:off x="0" y="0"/>
                    <a:ext cx="1909445" cy="698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441C" w14:textId="77777777" w:rsidR="00BC00BF" w:rsidRDefault="00BC00BF" w:rsidP="0024019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EC7">
      <w:rPr>
        <w:rStyle w:val="PageNumber"/>
        <w:noProof/>
      </w:rPr>
      <w:t>- 1 -</w:t>
    </w:r>
    <w:r>
      <w:rPr>
        <w:rStyle w:val="PageNumber"/>
      </w:rPr>
      <w:fldChar w:fldCharType="end"/>
    </w:r>
  </w:p>
  <w:p w14:paraId="29B39F1D" w14:textId="77777777" w:rsidR="00BC00BF" w:rsidRDefault="00BC00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BF90" w14:textId="77777777" w:rsidR="00526D02" w:rsidRDefault="00526D02" w:rsidP="006364E5">
      <w:pPr>
        <w:spacing w:after="0" w:line="240" w:lineRule="auto"/>
      </w:pPr>
      <w:r>
        <w:separator/>
      </w:r>
    </w:p>
  </w:footnote>
  <w:footnote w:type="continuationSeparator" w:id="0">
    <w:p w14:paraId="4E351FA2" w14:textId="77777777" w:rsidR="00526D02" w:rsidRDefault="00526D02" w:rsidP="006364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17C4" w14:textId="77777777" w:rsidR="00806EC7" w:rsidRDefault="00806EC7" w:rsidP="00806EC7">
    <w:pPr>
      <w:pStyle w:val="Header"/>
    </w:pPr>
    <w:r>
      <w:rPr>
        <w:noProof/>
        <w:color w:val="4A9EAC" w:themeColor="text2" w:themeTint="99"/>
        <w:sz w:val="24"/>
        <w:szCs w:val="24"/>
        <w:lang w:val="en-GB" w:eastAsia="en-GB"/>
      </w:rPr>
      <mc:AlternateContent>
        <mc:Choice Requires="wpg">
          <w:drawing>
            <wp:anchor distT="0" distB="0" distL="114300" distR="114300" simplePos="0" relativeHeight="251659264" behindDoc="0" locked="0" layoutInCell="1" allowOverlap="1" wp14:anchorId="45E17BFD" wp14:editId="765E852E">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56E9" w14:textId="77777777" w:rsidR="00806EC7" w:rsidRPr="00013032" w:rsidRDefault="00806EC7" w:rsidP="00806EC7">
                            <w:pPr>
                              <w:jc w:val="right"/>
                              <w:rPr>
                                <w:color w:val="262626" w:themeColor="text1" w:themeTint="D9"/>
                              </w:rPr>
                            </w:pPr>
                            <w:r w:rsidRPr="00013032">
                              <w:rPr>
                                <w:color w:val="262626" w:themeColor="text1" w:themeTint="D9"/>
                                <w:sz w:val="24"/>
                                <w:szCs w:val="24"/>
                              </w:rPr>
                              <w:fldChar w:fldCharType="begin"/>
                            </w:r>
                            <w:r w:rsidRPr="00013032">
                              <w:rPr>
                                <w:color w:val="262626" w:themeColor="text1" w:themeTint="D9"/>
                                <w:sz w:val="24"/>
                                <w:szCs w:val="24"/>
                              </w:rPr>
                              <w:instrText xml:space="preserve"> PAGE   \* MERGEFORMAT </w:instrText>
                            </w:r>
                            <w:r w:rsidRPr="00013032">
                              <w:rPr>
                                <w:color w:val="262626" w:themeColor="text1" w:themeTint="D9"/>
                                <w:sz w:val="24"/>
                                <w:szCs w:val="24"/>
                              </w:rPr>
                              <w:fldChar w:fldCharType="separate"/>
                            </w:r>
                            <w:r w:rsidR="00767E88" w:rsidRPr="00767E88">
                              <w:rPr>
                                <w:rFonts w:ascii="Times New Roman" w:hAnsi="Times New Roman"/>
                                <w:noProof/>
                                <w:color w:val="262626" w:themeColor="text1" w:themeTint="D9"/>
                                <w:sz w:val="22"/>
                                <w:szCs w:val="22"/>
                              </w:rPr>
                              <w:t>- 1 -</w:t>
                            </w:r>
                            <w:r w:rsidRPr="00013032">
                              <w:rPr>
                                <w:color w:val="262626" w:themeColor="text1" w:themeTint="D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E17BFD" id="Group 70" o:spid="_x0000_s1026" style="position:absolute;margin-left:0;margin-top:22.4pt;width:57.6pt;height:58.3pt;z-index:251659264;mso-position-horizontal:left;mso-position-horizontal-relative:right-margin-area;mso-position-vertical-relative:top-margin-area;mso-width-relative:margin;mso-height-relative:margin" coordorigin=",12192" coordsize="731747,746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">
              <v:shape id="Freeform 71" o:spid="_x0000_s1027" style="position:absolute;left:256032;top:12192;width:475601;height:473242;visibility:visible;mso-wrap-style:square;v-text-anchor:top" coordsize="42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FdRwwAA&#10;ANsAAAAPAAAAZHJzL2Rvd25yZXYueG1sRI/BbsIwEETvSP0HaytxIw4cKAQMahFt6RGI4LqKlyQi&#10;Xke2m6R/X1eqxHE0M2806+1gGtGR87VlBdMkBUFcWF1zqSA/v08WIHxA1thYJgU/5GG7eRqtMdO2&#10;5yN1p1CKCGGfoYIqhDaT0hcVGfSJbYmjd7POYIjSlVI77CPcNHKWpnNpsOa4UGFLu4qK++nbKPho&#10;tbZvxe3TX792+1nuzP6wvCg1fh5eVyACDeER/m8ftIKXKfx9iT9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kFdRwwAAANsAAAAPAAAAAAAAAAAAAAAAAJcCAABkcnMvZG93&#10;bnJldi54bWxQSwUGAAAAAAQABAD1AAAAhwMAAAAA&#10;" path="m0,420l0,420,416,,420,,,420xe" fillcolor="#4a9eac [1951]" stroked="f">
                <v:path arrowok="t" o:connecttype="custom" o:connectlocs="0,473242;0,473242;471071,0;475601,0;0,473242" o:connectangles="0,0,0,0,0"/>
              </v:shape>
              <v:shape id="Freeform 72" o:spid="_x0000_s1028" style="position:absolute;left:134112;top:48768;width:595634;height:592679;visibility:visible;mso-wrap-style:square;v-text-anchor:top" coordsize="526,5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YSwxQAA&#10;ANsAAAAPAAAAZHJzL2Rvd25yZXYueG1sRI9Ba8JAFITvQv/D8gq96aYWqkRXsUpRRKGJXrw9sq9J&#10;6O7bkN2atL++Kwg9DjPzDTNf9taIK7W+dqzgeZSAIC6crrlUcD69D6cgfEDWaByTgh/ysFw8DOaY&#10;atdxRtc8lCJC2KeooAqhSaX0RUUW/cg1xNH7dK3FEGVbSt1iF+HWyHGSvEqLNceFChtaV1R85d9W&#10;weXwId/k73G/7fLNi1md0GRmr9TTY7+agQjUh//wvb3TCiZjuH2JP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JhLDFAAAA2wAAAA8AAAAAAAAAAAAAAAAAlwIAAGRycy9k&#10;b3ducmV2LnhtbFBLBQYAAAAABAAEAPUAAACJAwAAAAA=&#10;" path="m0,526l0,526,522,,526,4,,526xe" fillcolor="#4a9eac [1951]" stroked="f">
                <v:path arrowok="t" o:connecttype="custom" o:connectlocs="0,592679;0,592679;591104,0;595634,4507;0,592679" o:connectangles="0,0,0,0,0"/>
              </v:shape>
              <v:shape id="Freeform 73" o:spid="_x0000_s1029" style="position:absolute;left:146304;top:36576;width:585443;height:582539;visibility:visible;mso-wrap-style:square;v-text-anchor:top" coordsize="517,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zxFxQAA&#10;ANsAAAAPAAAAZHJzL2Rvd25yZXYueG1sRI9Ba8JAFITvgv9heYK3ZqMlbYmuUqRFeymaVvD4zD6T&#10;YPZtyK5J+u+7hYLHYWa+YZbrwdSio9ZVlhXMohgEcW51xYWC76/3hxcQziNrrC2Tgh9ysF6NR0tM&#10;te35QF3mCxEg7FJUUHrfpFK6vCSDLrINcfAutjXog2wLqVvsA9zUch7HT9JgxWGhxIY2JeXX7GYU&#10;bD67oz5t50d56U5Jff7g5G3PSk0nw+sChKfB38P/7Z1W8PwIf1/CD5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bPEXFAAAA2wAAAA8AAAAAAAAAAAAAAAAAlwIAAGRycy9k&#10;b3ducmV2LnhtbFBLBQYAAAAABAAEAPUAAACJAwAAAAA=&#10;" path="m0,517l0,512,513,,517,,,517xe" fillcolor="#4a9eac [1951]" stroked="f">
                <v:path arrowok="t" o:connecttype="custom" o:connectlocs="0,582539;0,576905;580913,0;585443,0;0,582539" o:connectangles="0,0,0,0,0"/>
              </v:shape>
              <v:shape id="Freeform 74" o:spid="_x0000_s1030" style="position:absolute;left:207264;top:97536;width:522029;height:520566;visibility:visible;mso-wrap-style:square;v-text-anchor:top" coordsize="461,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feyxQAA&#10;ANsAAAAPAAAAZHJzL2Rvd25yZXYueG1sRI9Ba8JAFITvBf/D8oReSt0oRUvqKq1QaEFEjRdvj+wz&#10;m5p9G7LbJPrrXaHQ4zAz3zDzZW8r0VLjS8cKxqMEBHHudMmFgkP2+fwKwgdkjZVjUnAhD8vF4GGO&#10;qXYd76jdh0JECPsUFZgQ6lRKnxuy6EeuJo7eyTUWQ5RNIXWDXYTbSk6SZCotlhwXDNa0MpSf979W&#10;QXs6buh7m10/ntaTdWf4pz77TKnHYf/+BiJQH/7Df+0vrWD2Avcv8Qf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J97LFAAAA2wAAAA8AAAAAAAAAAAAAAAAAlwIAAGRycy9k&#10;b3ducmV2LnhtbFBLBQYAAAAABAAEAPUAAACJAwAAAAA=&#10;" path="m0,462l0,462,457,,461,5,,462xe" fillcolor="#4a9eac [1951]" stroked="f">
                <v:path arrowok="t" o:connecttype="custom" o:connectlocs="0,520566;0,520566;517499,0;522029,5634;0,520566" o:connectangles="0,0,0,0,0"/>
              </v:shape>
              <v:shape id="Freeform 75" o:spid="_x0000_s1031" style="position:absolute;top:36576;width:731520;height:722258;visibility:visible;mso-wrap-style:square;v-text-anchor:top" coordsize="646,6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2EbxQAA&#10;ANsAAAAPAAAAZHJzL2Rvd25yZXYueG1sRI9PawIxFMTvhX6H8Arealattmw3ighCKx7UKnh8bN7+&#10;aTcvS5Lq+u2NIHgcZuY3TDbrTCNO5HxtWcGgn4Agzq2uuVSw/1m+foDwAVljY5kUXMjDbPr8lGGq&#10;7Zm3dNqFUkQI+xQVVCG0qZQ+r8ig79uWOHqFdQZDlK6U2uE5wk0jh0kykQZrjgsVtrSoKP/b/RsF&#10;m1XSurX83g6Ox1Xxu5ab0eGtVKr30s0/QQTqwiN8b39pBe9juH2JP0B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DYRvFAAAA2wAAAA8AAAAAAAAAAAAAAAAAlwIAAGRycy9k&#10;b3ducmV2LnhtbFBLBQYAAAAABAAEAPUAAACJAwAAAAA=&#10;" path="m5,641l0,641,642,,646,,5,641xe" fillcolor="#4a9eac [1951]" stroked="f">
                <v:path arrowok="t" o:connecttype="custom" o:connectlocs="5662,722258;0,722258;726990,0;731520,0;5662,722258" o:connectangles="0,0,0,0,0"/>
              </v:shape>
              <v:shapetype id="_x0000_t202" coordsize="21600,21600" o:spt="202" path="m0,0l0,21600,21600,21600,21600,0xe">
                <v:stroke joinstyle="miter"/>
                <v:path gradientshapeok="t" o:connecttype="rect"/>
              </v:shapetype>
              <v:shape id="Text Box 76" o:spid="_x0000_s1032" type="#_x0000_t202" style="position:absolute;left:73152;top:12192;width:356346;height:3501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o8FxgAA&#10;ANsAAAAPAAAAZHJzL2Rvd25yZXYueG1sRI9Pa8JAFMTvBb/D8gRvdWMPtqSuIrYFD/2ntlBvz+wz&#10;CWbfht1nTL99t1DocZiZ3zCzRe8a1VGItWcDk3EGirjwtubSwMfu6foOVBRki41nMvBNERbzwdUM&#10;c+svvKFuK6VKEI45GqhE2lzrWFTkMI59S5y8ow8OJclQahvwkuCu0TdZNtUOa04LFba0qqg4bc/O&#10;QPMVw/Mhk333UL7I+5s+fz5OXo0ZDfvlPSihXv7Df+21NXA7hd8v6Qfo+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6o8FxgAAANsAAAAPAAAAAAAAAAAAAAAAAJcCAABkcnMv&#10;ZG93bnJldi54bWxQSwUGAAAAAAQABAD1AAAAigMAAAAA&#10;" filled="f" stroked="f" strokeweight=".5pt">
                <v:textbox inset="0,0,0,0">
                  <w:txbxContent>
                    <w:p w14:paraId="6A6E56E9" w14:textId="77777777" w:rsidR="00806EC7" w:rsidRPr="00013032" w:rsidRDefault="00806EC7" w:rsidP="00806EC7">
                      <w:pPr>
                        <w:jc w:val="right"/>
                        <w:rPr>
                          <w:color w:val="262626" w:themeColor="text1" w:themeTint="D9"/>
                        </w:rPr>
                      </w:pPr>
                      <w:r w:rsidRPr="00013032">
                        <w:rPr>
                          <w:color w:val="262626" w:themeColor="text1" w:themeTint="D9"/>
                          <w:sz w:val="24"/>
                          <w:szCs w:val="24"/>
                        </w:rPr>
                        <w:fldChar w:fldCharType="begin"/>
                      </w:r>
                      <w:r w:rsidRPr="00013032">
                        <w:rPr>
                          <w:color w:val="262626" w:themeColor="text1" w:themeTint="D9"/>
                          <w:sz w:val="24"/>
                          <w:szCs w:val="24"/>
                        </w:rPr>
                        <w:instrText xml:space="preserve"> PAGE   \* MERGEFORMAT </w:instrText>
                      </w:r>
                      <w:r w:rsidRPr="00013032">
                        <w:rPr>
                          <w:color w:val="262626" w:themeColor="text1" w:themeTint="D9"/>
                          <w:sz w:val="24"/>
                          <w:szCs w:val="24"/>
                        </w:rPr>
                        <w:fldChar w:fldCharType="separate"/>
                      </w:r>
                      <w:r w:rsidR="00B42F32" w:rsidRPr="00B42F32">
                        <w:rPr>
                          <w:rFonts w:ascii="Times New Roman" w:hAnsi="Times New Roman"/>
                          <w:noProof/>
                          <w:color w:val="262626" w:themeColor="text1" w:themeTint="D9"/>
                          <w:sz w:val="22"/>
                          <w:szCs w:val="22"/>
                        </w:rPr>
                        <w:t>- 7 -</w:t>
                      </w:r>
                      <w:r w:rsidRPr="00013032">
                        <w:rPr>
                          <w:color w:val="262626" w:themeColor="text1" w:themeTint="D9"/>
                          <w:sz w:val="24"/>
                          <w:szCs w:val="24"/>
                        </w:rPr>
                        <w:fldChar w:fldCharType="end"/>
                      </w:r>
                    </w:p>
                  </w:txbxContent>
                </v:textbox>
              </v:shape>
              <w10:wrap anchorx="margin" anchory="margin"/>
            </v:group>
          </w:pict>
        </mc:Fallback>
      </mc:AlternateContent>
    </w:r>
    <w:r>
      <w:t xml:space="preserve">    </w:t>
    </w:r>
    <w:r>
      <w:rPr>
        <w:noProof/>
        <w:color w:val="000000" w:themeColor="text1"/>
        <w:lang w:val="en-GB" w:eastAsia="en-GB"/>
      </w:rPr>
      <w:drawing>
        <wp:inline distT="0" distB="0" distL="0" distR="0" wp14:anchorId="2328219C" wp14:editId="559E26BA">
          <wp:extent cx="602817" cy="789577"/>
          <wp:effectExtent l="0" t="0" r="6985" b="0"/>
          <wp:docPr id="18"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428" cy="806095"/>
                  </a:xfrm>
                  <a:prstGeom prst="rect">
                    <a:avLst/>
                  </a:prstGeom>
                  <a:noFill/>
                </pic:spPr>
              </pic:pic>
            </a:graphicData>
          </a:graphic>
        </wp:inline>
      </w:drawing>
    </w:r>
    <w:r>
      <w:t xml:space="preserve">                  </w:t>
    </w:r>
    <w:r>
      <w:rPr>
        <w:noProof/>
        <w:color w:val="000000" w:themeColor="text1"/>
        <w:lang w:val="en-GB" w:eastAsia="en-GB"/>
      </w:rPr>
      <w:drawing>
        <wp:inline distT="0" distB="0" distL="0" distR="0" wp14:anchorId="2F408B3B" wp14:editId="5A2A3238">
          <wp:extent cx="661959" cy="802300"/>
          <wp:effectExtent l="0" t="0" r="0" b="10795"/>
          <wp:docPr id="19"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657" cy="815266"/>
                  </a:xfrm>
                  <a:prstGeom prst="rect">
                    <a:avLst/>
                  </a:prstGeom>
                  <a:noFill/>
                </pic:spPr>
              </pic:pic>
            </a:graphicData>
          </a:graphic>
        </wp:inline>
      </w:drawing>
    </w:r>
    <w:r>
      <w:t xml:space="preserve">               </w:t>
    </w:r>
    <w:r>
      <w:rPr>
        <w:noProof/>
        <w:color w:val="000000" w:themeColor="text1"/>
        <w:lang w:val="en-GB" w:eastAsia="en-GB"/>
      </w:rPr>
      <w:drawing>
        <wp:inline distT="0" distB="0" distL="0" distR="0" wp14:anchorId="1FD57BBE" wp14:editId="5BF8E2FE">
          <wp:extent cx="676468" cy="816878"/>
          <wp:effectExtent l="0" t="0" r="9525" b="0"/>
          <wp:docPr id="2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2968" cy="933408"/>
                  </a:xfrm>
                  <a:prstGeom prst="rect">
                    <a:avLst/>
                  </a:prstGeom>
                  <a:noFill/>
                </pic:spPr>
              </pic:pic>
            </a:graphicData>
          </a:graphic>
        </wp:inline>
      </w:drawing>
    </w:r>
    <w:r>
      <w:t xml:space="preserve">                </w:t>
    </w:r>
    <w:r>
      <w:rPr>
        <w:noProof/>
        <w:color w:val="000000" w:themeColor="text1"/>
        <w:lang w:val="en-GB" w:eastAsia="en-GB"/>
      </w:rPr>
      <w:drawing>
        <wp:inline distT="0" distB="0" distL="0" distR="0" wp14:anchorId="7629023C" wp14:editId="1E47C171">
          <wp:extent cx="673574" cy="811332"/>
          <wp:effectExtent l="0" t="0" r="12700" b="1905"/>
          <wp:docPr id="21"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4" cy="830653"/>
                  </a:xfrm>
                  <a:prstGeom prst="rect">
                    <a:avLst/>
                  </a:prstGeom>
                  <a:noFill/>
                </pic:spPr>
              </pic:pic>
            </a:graphicData>
          </a:graphic>
        </wp:inline>
      </w:drawing>
    </w:r>
    <w:r>
      <w:t xml:space="preserve">                </w:t>
    </w:r>
    <w:r>
      <w:rPr>
        <w:noProof/>
        <w:color w:val="000000" w:themeColor="text1"/>
        <w:lang w:val="en-GB" w:eastAsia="en-GB"/>
      </w:rPr>
      <w:drawing>
        <wp:inline distT="0" distB="0" distL="0" distR="0" wp14:anchorId="41D4D974" wp14:editId="1DA702F8">
          <wp:extent cx="681718" cy="810670"/>
          <wp:effectExtent l="0" t="0" r="4445" b="2540"/>
          <wp:docPr id="2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78" cy="830719"/>
                  </a:xfrm>
                  <a:prstGeom prst="rect">
                    <a:avLst/>
                  </a:prstGeom>
                  <a:noFill/>
                </pic:spPr>
              </pic:pic>
            </a:graphicData>
          </a:graphic>
        </wp:inline>
      </w:drawing>
    </w:r>
  </w:p>
  <w:p w14:paraId="22F47DA7" w14:textId="3AD11A45" w:rsidR="00BC00BF" w:rsidRPr="00806EC7" w:rsidRDefault="00BC00BF" w:rsidP="00806E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099"/>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8018D7"/>
    <w:multiLevelType w:val="hybridMultilevel"/>
    <w:tmpl w:val="699860D6"/>
    <w:lvl w:ilvl="0" w:tplc="1F36A0FA">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04205EE7"/>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B416B8"/>
    <w:multiLevelType w:val="hybridMultilevel"/>
    <w:tmpl w:val="952419C2"/>
    <w:lvl w:ilvl="0" w:tplc="0ADA8B16">
      <w:start w:val="231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4CA779F"/>
    <w:multiLevelType w:val="hybridMultilevel"/>
    <w:tmpl w:val="F870707E"/>
    <w:lvl w:ilvl="0" w:tplc="E9A6362E">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4DA51F1"/>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76429E9"/>
    <w:multiLevelType w:val="hybridMultilevel"/>
    <w:tmpl w:val="F4D2DD6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A8A0421"/>
    <w:multiLevelType w:val="hybridMultilevel"/>
    <w:tmpl w:val="05366876"/>
    <w:lvl w:ilvl="0" w:tplc="0ADA8B16">
      <w:start w:val="231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0A964CA9"/>
    <w:multiLevelType w:val="hybridMultilevel"/>
    <w:tmpl w:val="6354195C"/>
    <w:lvl w:ilvl="0" w:tplc="7E202EC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C65239A"/>
    <w:multiLevelType w:val="hybridMultilevel"/>
    <w:tmpl w:val="23C80A42"/>
    <w:lvl w:ilvl="0" w:tplc="0C2AEFA6">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DF35920"/>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05E2176"/>
    <w:multiLevelType w:val="hybridMultilevel"/>
    <w:tmpl w:val="463A7C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09B2B36"/>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2A62BFE"/>
    <w:multiLevelType w:val="hybridMultilevel"/>
    <w:tmpl w:val="B20C200E"/>
    <w:lvl w:ilvl="0" w:tplc="04240017">
      <w:start w:val="1"/>
      <w:numFmt w:val="lowerLetter"/>
      <w:lvlText w:val="%1)"/>
      <w:lvlJc w:val="left"/>
      <w:pPr>
        <w:ind w:left="720" w:hanging="360"/>
      </w:pPr>
      <w:rPr>
        <w:rFonts w:hint="default"/>
      </w:rPr>
    </w:lvl>
    <w:lvl w:ilvl="1" w:tplc="7E202EC2">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2BD1955"/>
    <w:multiLevelType w:val="hybridMultilevel"/>
    <w:tmpl w:val="21FAC4AE"/>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3096C1C"/>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7DA28AE"/>
    <w:multiLevelType w:val="hybridMultilevel"/>
    <w:tmpl w:val="62C44DE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A0434D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AF551C6"/>
    <w:multiLevelType w:val="hybridMultilevel"/>
    <w:tmpl w:val="E40E798C"/>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F064F6D"/>
    <w:multiLevelType w:val="hybridMultilevel"/>
    <w:tmpl w:val="A1D03E7C"/>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1847DD9"/>
    <w:multiLevelType w:val="hybridMultilevel"/>
    <w:tmpl w:val="6A2A580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3DB41C9"/>
    <w:multiLevelType w:val="hybridMultilevel"/>
    <w:tmpl w:val="222C49C0"/>
    <w:lvl w:ilvl="0" w:tplc="0ADA8B16">
      <w:start w:val="2310"/>
      <w:numFmt w:val="bullet"/>
      <w:lvlText w:val="-"/>
      <w:lvlJc w:val="left"/>
      <w:pPr>
        <w:ind w:left="360" w:hanging="360"/>
      </w:pPr>
      <w:rPr>
        <w:rFonts w:ascii="Times New Roman" w:eastAsia="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nsid w:val="270941FB"/>
    <w:multiLevelType w:val="hybridMultilevel"/>
    <w:tmpl w:val="10D295B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FD4021E"/>
    <w:multiLevelType w:val="hybridMultilevel"/>
    <w:tmpl w:val="9BBADBAC"/>
    <w:lvl w:ilvl="0" w:tplc="A9B64850">
      <w:numFmt w:val="bullet"/>
      <w:lvlText w:val="•"/>
      <w:lvlJc w:val="left"/>
      <w:pPr>
        <w:ind w:left="1065" w:hanging="705"/>
      </w:pPr>
      <w:rPr>
        <w:rFonts w:ascii="Calibri Light" w:eastAsiaTheme="minorEastAsia"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0C24A12"/>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45E3119"/>
    <w:multiLevelType w:val="multilevel"/>
    <w:tmpl w:val="669CFF7C"/>
    <w:lvl w:ilvl="0">
      <w:start w:val="1"/>
      <w:numFmt w:val="decimal"/>
      <w:lvlText w:val="%1."/>
      <w:lvlJc w:val="left"/>
      <w:pPr>
        <w:tabs>
          <w:tab w:val="num" w:pos="360"/>
        </w:tabs>
        <w:ind w:left="360" w:hanging="360"/>
      </w:pPr>
    </w:lvl>
    <w:lvl w:ilvl="1">
      <w:start w:val="1"/>
      <w:numFmt w:val="decimal"/>
      <w:lvlText w:val="%1.%2"/>
      <w:lvlJc w:val="left"/>
      <w:pPr>
        <w:tabs>
          <w:tab w:val="num" w:pos="4687"/>
        </w:tabs>
        <w:ind w:left="4687"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37">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6ED5864"/>
    <w:multiLevelType w:val="hybridMultilevel"/>
    <w:tmpl w:val="0D1408F4"/>
    <w:lvl w:ilvl="0" w:tplc="0424000F">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9">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3C85694C"/>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3E9765F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2B675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68D530E"/>
    <w:multiLevelType w:val="hybridMultilevel"/>
    <w:tmpl w:val="FBC44388"/>
    <w:lvl w:ilvl="0" w:tplc="04240017">
      <w:start w:val="1"/>
      <w:numFmt w:val="lowerLetter"/>
      <w:lvlText w:val="%1)"/>
      <w:lvlJc w:val="left"/>
      <w:pPr>
        <w:ind w:left="720" w:hanging="360"/>
      </w:pPr>
      <w:rPr>
        <w:rFonts w:hint="default"/>
      </w:rPr>
    </w:lvl>
    <w:lvl w:ilvl="1" w:tplc="7E202EC2">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473B724D"/>
    <w:multiLevelType w:val="hybridMultilevel"/>
    <w:tmpl w:val="7D328034"/>
    <w:lvl w:ilvl="0" w:tplc="188CF682">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9">
    <w:nsid w:val="485764A8"/>
    <w:multiLevelType w:val="hybridMultilevel"/>
    <w:tmpl w:val="A52ACA3C"/>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4C68659C"/>
    <w:multiLevelType w:val="hybridMultilevel"/>
    <w:tmpl w:val="50683C46"/>
    <w:lvl w:ilvl="0" w:tplc="2872067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4EB95B4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F414993"/>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53453CA3"/>
    <w:multiLevelType w:val="hybridMultilevel"/>
    <w:tmpl w:val="7AC2F2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5">
    <w:nsid w:val="54E64C3E"/>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56C74E54"/>
    <w:multiLevelType w:val="hybridMultilevel"/>
    <w:tmpl w:val="D14840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77A2916"/>
    <w:multiLevelType w:val="hybridMultilevel"/>
    <w:tmpl w:val="724E927E"/>
    <w:lvl w:ilvl="0" w:tplc="0C2AEFA6">
      <w:start w:val="1"/>
      <w:numFmt w:val="bullet"/>
      <w:lvlText w:val="-"/>
      <w:lvlJc w:val="left"/>
      <w:pPr>
        <w:ind w:left="720" w:hanging="360"/>
      </w:pPr>
      <w:rPr>
        <w:rFonts w:ascii="Arial" w:hAnsi="Arial" w:hint="default"/>
      </w:rPr>
    </w:lvl>
    <w:lvl w:ilvl="1" w:tplc="6CC89210">
      <w:numFmt w:val="bullet"/>
      <w:lvlText w:val="–"/>
      <w:lvlJc w:val="left"/>
      <w:pPr>
        <w:ind w:left="1440" w:hanging="360"/>
      </w:pPr>
      <w:rPr>
        <w:rFonts w:ascii="Trebuchet MS" w:eastAsiaTheme="minorEastAsia"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57FC2749"/>
    <w:multiLevelType w:val="hybridMultilevel"/>
    <w:tmpl w:val="C9E6286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81F5B00"/>
    <w:multiLevelType w:val="hybridMultilevel"/>
    <w:tmpl w:val="D14840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5FEC2D17"/>
    <w:multiLevelType w:val="hybridMultilevel"/>
    <w:tmpl w:val="D63E888E"/>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50B4C8" w:themeColor="accent1"/>
      </w:rPr>
    </w:lvl>
    <w:lvl w:ilvl="1" w:tplc="1B62E654">
      <w:start w:val="1"/>
      <w:numFmt w:val="bullet"/>
      <w:lvlText w:val="o"/>
      <w:lvlJc w:val="left"/>
      <w:pPr>
        <w:ind w:left="1440" w:hanging="360"/>
      </w:pPr>
      <w:rPr>
        <w:rFonts w:ascii="Courier New" w:hAnsi="Courier New" w:cs="Courier New" w:hint="default"/>
        <w:color w:val="50B4C8" w:themeColor="accent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23D03F7"/>
    <w:multiLevelType w:val="hybridMultilevel"/>
    <w:tmpl w:val="7F8A6EEE"/>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666F6FFC"/>
    <w:multiLevelType w:val="hybridMultilevel"/>
    <w:tmpl w:val="B9683BFA"/>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67450B70"/>
    <w:multiLevelType w:val="hybridMultilevel"/>
    <w:tmpl w:val="E162FFFA"/>
    <w:lvl w:ilvl="0" w:tplc="D18A1758">
      <w:start w:val="1"/>
      <w:numFmt w:val="decimal"/>
      <w:lvlText w:val="%1."/>
      <w:lvlJc w:val="left"/>
      <w:pPr>
        <w:tabs>
          <w:tab w:val="num" w:pos="720"/>
        </w:tabs>
        <w:ind w:left="720" w:hanging="360"/>
      </w:pPr>
      <w:rPr>
        <w:rFonts w:ascii="Arial" w:hAnsi="Arial" w:cs="Arial" w:hint="default"/>
      </w:rPr>
    </w:lvl>
    <w:lvl w:ilvl="1" w:tplc="E48A1A08">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decimal"/>
      <w:lvlText w:val="%5."/>
      <w:lvlJc w:val="left"/>
      <w:pPr>
        <w:tabs>
          <w:tab w:val="num" w:pos="3600"/>
        </w:tabs>
        <w:ind w:left="3600" w:hanging="360"/>
      </w:pPr>
      <w:rPr>
        <w:rFonts w:ascii="Times New Roman" w:hAnsi="Times New Roman" w:cs="Times New Roman"/>
      </w:rPr>
    </w:lvl>
    <w:lvl w:ilvl="5" w:tplc="0424001B">
      <w:start w:val="1"/>
      <w:numFmt w:val="decimal"/>
      <w:lvlText w:val="%6."/>
      <w:lvlJc w:val="left"/>
      <w:pPr>
        <w:tabs>
          <w:tab w:val="num" w:pos="4320"/>
        </w:tabs>
        <w:ind w:left="4320" w:hanging="36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decimal"/>
      <w:lvlText w:val="%8."/>
      <w:lvlJc w:val="left"/>
      <w:pPr>
        <w:tabs>
          <w:tab w:val="num" w:pos="5760"/>
        </w:tabs>
        <w:ind w:left="5760" w:hanging="360"/>
      </w:pPr>
      <w:rPr>
        <w:rFonts w:ascii="Times New Roman" w:hAnsi="Times New Roman" w:cs="Times New Roman"/>
      </w:rPr>
    </w:lvl>
    <w:lvl w:ilvl="8" w:tplc="0424001B">
      <w:start w:val="1"/>
      <w:numFmt w:val="decimal"/>
      <w:lvlText w:val="%9."/>
      <w:lvlJc w:val="left"/>
      <w:pPr>
        <w:tabs>
          <w:tab w:val="num" w:pos="6480"/>
        </w:tabs>
        <w:ind w:left="6480" w:hanging="360"/>
      </w:pPr>
      <w:rPr>
        <w:rFonts w:ascii="Times New Roman" w:hAnsi="Times New Roman" w:cs="Times New Roman"/>
      </w:rPr>
    </w:lvl>
  </w:abstractNum>
  <w:abstractNum w:abstractNumId="71">
    <w:nsid w:val="67FB4350"/>
    <w:multiLevelType w:val="hybridMultilevel"/>
    <w:tmpl w:val="DB4692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697D1B2B"/>
    <w:multiLevelType w:val="hybridMultilevel"/>
    <w:tmpl w:val="1436D470"/>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4">
    <w:nsid w:val="703624BB"/>
    <w:multiLevelType w:val="hybridMultilevel"/>
    <w:tmpl w:val="BA586CD8"/>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71C27BD9"/>
    <w:multiLevelType w:val="hybridMultilevel"/>
    <w:tmpl w:val="A0D827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53079FB"/>
    <w:multiLevelType w:val="hybridMultilevel"/>
    <w:tmpl w:val="D1E0380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784138A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B1D4DB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B3B4E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CCB5BD6"/>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7E9C70C1"/>
    <w:multiLevelType w:val="hybridMultilevel"/>
    <w:tmpl w:val="E5CC7B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7F2324FD"/>
    <w:multiLevelType w:val="multilevel"/>
    <w:tmpl w:val="70640976"/>
    <w:lvl w:ilvl="0">
      <w:start w:val="231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687"/>
        </w:tabs>
        <w:ind w:left="4687"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num w:numId="1">
    <w:abstractNumId w:val="8"/>
  </w:num>
  <w:num w:numId="2">
    <w:abstractNumId w:val="34"/>
  </w:num>
  <w:num w:numId="3">
    <w:abstractNumId w:val="31"/>
  </w:num>
  <w:num w:numId="4">
    <w:abstractNumId w:val="57"/>
  </w:num>
  <w:num w:numId="5">
    <w:abstractNumId w:val="39"/>
  </w:num>
  <w:num w:numId="6">
    <w:abstractNumId w:val="67"/>
  </w:num>
  <w:num w:numId="7">
    <w:abstractNumId w:val="18"/>
  </w:num>
  <w:num w:numId="8">
    <w:abstractNumId w:val="73"/>
  </w:num>
  <w:num w:numId="9">
    <w:abstractNumId w:val="65"/>
  </w:num>
  <w:num w:numId="10">
    <w:abstractNumId w:val="23"/>
  </w:num>
  <w:num w:numId="11">
    <w:abstractNumId w:val="58"/>
  </w:num>
  <w:num w:numId="12">
    <w:abstractNumId w:val="77"/>
  </w:num>
  <w:num w:numId="13">
    <w:abstractNumId w:val="64"/>
  </w:num>
  <w:num w:numId="14">
    <w:abstractNumId w:val="19"/>
  </w:num>
  <w:num w:numId="15">
    <w:abstractNumId w:val="52"/>
  </w:num>
  <w:num w:numId="16">
    <w:abstractNumId w:val="7"/>
  </w:num>
  <w:num w:numId="17">
    <w:abstractNumId w:val="14"/>
  </w:num>
  <w:num w:numId="18">
    <w:abstractNumId w:val="66"/>
  </w:num>
  <w:num w:numId="19">
    <w:abstractNumId w:val="26"/>
  </w:num>
  <w:num w:numId="20">
    <w:abstractNumId w:val="63"/>
  </w:num>
  <w:num w:numId="21">
    <w:abstractNumId w:val="15"/>
  </w:num>
  <w:num w:numId="22">
    <w:abstractNumId w:val="4"/>
  </w:num>
  <w:num w:numId="23">
    <w:abstractNumId w:val="5"/>
  </w:num>
  <w:num w:numId="24">
    <w:abstractNumId w:val="74"/>
  </w:num>
  <w:num w:numId="25">
    <w:abstractNumId w:val="72"/>
  </w:num>
  <w:num w:numId="26">
    <w:abstractNumId w:val="40"/>
  </w:num>
  <w:num w:numId="27">
    <w:abstractNumId w:val="9"/>
  </w:num>
  <w:num w:numId="28">
    <w:abstractNumId w:val="16"/>
  </w:num>
  <w:num w:numId="29">
    <w:abstractNumId w:val="42"/>
  </w:num>
  <w:num w:numId="30">
    <w:abstractNumId w:val="20"/>
  </w:num>
  <w:num w:numId="31">
    <w:abstractNumId w:val="30"/>
  </w:num>
  <w:num w:numId="32">
    <w:abstractNumId w:val="22"/>
  </w:num>
  <w:num w:numId="33">
    <w:abstractNumId w:val="2"/>
  </w:num>
  <w:num w:numId="34">
    <w:abstractNumId w:val="55"/>
  </w:num>
  <w:num w:numId="35">
    <w:abstractNumId w:val="68"/>
  </w:num>
  <w:num w:numId="36">
    <w:abstractNumId w:val="50"/>
  </w:num>
  <w:num w:numId="37">
    <w:abstractNumId w:val="35"/>
  </w:num>
  <w:num w:numId="38">
    <w:abstractNumId w:val="69"/>
  </w:num>
  <w:num w:numId="39">
    <w:abstractNumId w:val="49"/>
  </w:num>
  <w:num w:numId="40">
    <w:abstractNumId w:val="45"/>
  </w:num>
  <w:num w:numId="41">
    <w:abstractNumId w:val="21"/>
  </w:num>
  <w:num w:numId="42">
    <w:abstractNumId w:val="13"/>
  </w:num>
  <w:num w:numId="43">
    <w:abstractNumId w:val="32"/>
  </w:num>
  <w:num w:numId="44">
    <w:abstractNumId w:val="82"/>
  </w:num>
  <w:num w:numId="45">
    <w:abstractNumId w:val="78"/>
  </w:num>
  <w:num w:numId="46">
    <w:abstractNumId w:val="37"/>
  </w:num>
  <w:num w:numId="47">
    <w:abstractNumId w:val="41"/>
  </w:num>
  <w:num w:numId="48">
    <w:abstractNumId w:val="6"/>
  </w:num>
  <w:num w:numId="49">
    <w:abstractNumId w:val="76"/>
  </w:num>
  <w:num w:numId="50">
    <w:abstractNumId w:val="43"/>
  </w:num>
  <w:num w:numId="51">
    <w:abstractNumId w:val="53"/>
  </w:num>
  <w:num w:numId="52">
    <w:abstractNumId w:val="62"/>
  </w:num>
  <w:num w:numId="53">
    <w:abstractNumId w:val="75"/>
  </w:num>
  <w:num w:numId="54">
    <w:abstractNumId w:val="61"/>
  </w:num>
  <w:num w:numId="55">
    <w:abstractNumId w:val="60"/>
  </w:num>
  <w:num w:numId="56">
    <w:abstractNumId w:val="71"/>
  </w:num>
  <w:num w:numId="57">
    <w:abstractNumId w:val="0"/>
  </w:num>
  <w:num w:numId="58">
    <w:abstractNumId w:val="25"/>
  </w:num>
  <w:num w:numId="59">
    <w:abstractNumId w:val="79"/>
  </w:num>
  <w:num w:numId="60">
    <w:abstractNumId w:val="46"/>
  </w:num>
  <w:num w:numId="61">
    <w:abstractNumId w:val="81"/>
  </w:num>
  <w:num w:numId="62">
    <w:abstractNumId w:val="83"/>
  </w:num>
  <w:num w:numId="63">
    <w:abstractNumId w:val="33"/>
  </w:num>
  <w:num w:numId="64">
    <w:abstractNumId w:val="12"/>
  </w:num>
  <w:num w:numId="65">
    <w:abstractNumId w:val="59"/>
  </w:num>
  <w:num w:numId="66">
    <w:abstractNumId w:val="51"/>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num>
  <w:num w:numId="75">
    <w:abstractNumId w:val="10"/>
  </w:num>
  <w:num w:numId="76">
    <w:abstractNumId w:val="48"/>
  </w:num>
  <w:num w:numId="77">
    <w:abstractNumId w:val="28"/>
  </w:num>
  <w:num w:numId="78">
    <w:abstractNumId w:val="84"/>
  </w:num>
  <w:num w:numId="79">
    <w:abstractNumId w:val="80"/>
  </w:num>
  <w:num w:numId="80">
    <w:abstractNumId w:val="56"/>
  </w:num>
  <w:num w:numId="81">
    <w:abstractNumId w:val="24"/>
  </w:num>
  <w:num w:numId="82">
    <w:abstractNumId w:val="11"/>
  </w:num>
  <w:num w:numId="83">
    <w:abstractNumId w:val="44"/>
  </w:num>
  <w:num w:numId="84">
    <w:abstractNumId w:val="27"/>
  </w:num>
  <w:num w:numId="85">
    <w:abstractNumId w:val="47"/>
  </w:num>
  <w:num w:numId="86">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6B"/>
    <w:rsid w:val="00011A8F"/>
    <w:rsid w:val="000210B0"/>
    <w:rsid w:val="000218A6"/>
    <w:rsid w:val="00022550"/>
    <w:rsid w:val="00030EEB"/>
    <w:rsid w:val="000349A4"/>
    <w:rsid w:val="0004358A"/>
    <w:rsid w:val="000439DC"/>
    <w:rsid w:val="00043B5B"/>
    <w:rsid w:val="0005149E"/>
    <w:rsid w:val="000539FB"/>
    <w:rsid w:val="00055153"/>
    <w:rsid w:val="0005634E"/>
    <w:rsid w:val="00057BBB"/>
    <w:rsid w:val="00060B04"/>
    <w:rsid w:val="000810E7"/>
    <w:rsid w:val="00081841"/>
    <w:rsid w:val="000828A3"/>
    <w:rsid w:val="00085208"/>
    <w:rsid w:val="00097176"/>
    <w:rsid w:val="000C2A07"/>
    <w:rsid w:val="000D34DC"/>
    <w:rsid w:val="000E1309"/>
    <w:rsid w:val="000F5642"/>
    <w:rsid w:val="00101549"/>
    <w:rsid w:val="001140B6"/>
    <w:rsid w:val="00123511"/>
    <w:rsid w:val="001656A4"/>
    <w:rsid w:val="0016652C"/>
    <w:rsid w:val="00184AB0"/>
    <w:rsid w:val="00195CBF"/>
    <w:rsid w:val="001A590C"/>
    <w:rsid w:val="001B4111"/>
    <w:rsid w:val="001D3819"/>
    <w:rsid w:val="001D799A"/>
    <w:rsid w:val="001E1C84"/>
    <w:rsid w:val="001E7AE9"/>
    <w:rsid w:val="00215C95"/>
    <w:rsid w:val="002238DC"/>
    <w:rsid w:val="00250DC3"/>
    <w:rsid w:val="00251EFE"/>
    <w:rsid w:val="00254DC6"/>
    <w:rsid w:val="002679BF"/>
    <w:rsid w:val="00277470"/>
    <w:rsid w:val="002828FB"/>
    <w:rsid w:val="00295316"/>
    <w:rsid w:val="00295916"/>
    <w:rsid w:val="002C0B44"/>
    <w:rsid w:val="002D40A3"/>
    <w:rsid w:val="002D5B3D"/>
    <w:rsid w:val="002E1392"/>
    <w:rsid w:val="002F32EF"/>
    <w:rsid w:val="002F759A"/>
    <w:rsid w:val="0030549E"/>
    <w:rsid w:val="003150A4"/>
    <w:rsid w:val="0031686C"/>
    <w:rsid w:val="003218D0"/>
    <w:rsid w:val="00335F27"/>
    <w:rsid w:val="00341284"/>
    <w:rsid w:val="003452E2"/>
    <w:rsid w:val="0035789B"/>
    <w:rsid w:val="003641E5"/>
    <w:rsid w:val="00370D7D"/>
    <w:rsid w:val="00376DCE"/>
    <w:rsid w:val="00384E24"/>
    <w:rsid w:val="003A1F57"/>
    <w:rsid w:val="003C6A34"/>
    <w:rsid w:val="003D4AD6"/>
    <w:rsid w:val="003E0B78"/>
    <w:rsid w:val="003F7B9E"/>
    <w:rsid w:val="004011F0"/>
    <w:rsid w:val="004068B4"/>
    <w:rsid w:val="004145E0"/>
    <w:rsid w:val="00435250"/>
    <w:rsid w:val="00444F59"/>
    <w:rsid w:val="00455E00"/>
    <w:rsid w:val="0046652A"/>
    <w:rsid w:val="0047092D"/>
    <w:rsid w:val="00474470"/>
    <w:rsid w:val="00480F6B"/>
    <w:rsid w:val="00485184"/>
    <w:rsid w:val="00491F0D"/>
    <w:rsid w:val="004A28E1"/>
    <w:rsid w:val="004A57E3"/>
    <w:rsid w:val="004B3101"/>
    <w:rsid w:val="004B6DC4"/>
    <w:rsid w:val="004C133C"/>
    <w:rsid w:val="004C5E81"/>
    <w:rsid w:val="004D6C1B"/>
    <w:rsid w:val="004E4B19"/>
    <w:rsid w:val="005029C7"/>
    <w:rsid w:val="00506D07"/>
    <w:rsid w:val="0051271A"/>
    <w:rsid w:val="00513F35"/>
    <w:rsid w:val="005174B5"/>
    <w:rsid w:val="005242EF"/>
    <w:rsid w:val="00526D02"/>
    <w:rsid w:val="0053031C"/>
    <w:rsid w:val="005308FE"/>
    <w:rsid w:val="00534B13"/>
    <w:rsid w:val="00560548"/>
    <w:rsid w:val="005605DF"/>
    <w:rsid w:val="0056188A"/>
    <w:rsid w:val="0056500E"/>
    <w:rsid w:val="00567C00"/>
    <w:rsid w:val="00567D76"/>
    <w:rsid w:val="00580892"/>
    <w:rsid w:val="00590D3E"/>
    <w:rsid w:val="005A216D"/>
    <w:rsid w:val="005A27BD"/>
    <w:rsid w:val="005B1B96"/>
    <w:rsid w:val="005D4AFC"/>
    <w:rsid w:val="005D5418"/>
    <w:rsid w:val="005E0FA6"/>
    <w:rsid w:val="005F4B99"/>
    <w:rsid w:val="00604652"/>
    <w:rsid w:val="00604969"/>
    <w:rsid w:val="00614CFF"/>
    <w:rsid w:val="00627E05"/>
    <w:rsid w:val="00632288"/>
    <w:rsid w:val="006364E5"/>
    <w:rsid w:val="00644FE0"/>
    <w:rsid w:val="00645E4B"/>
    <w:rsid w:val="0065378A"/>
    <w:rsid w:val="00660BE3"/>
    <w:rsid w:val="00670769"/>
    <w:rsid w:val="00675E8F"/>
    <w:rsid w:val="006823F4"/>
    <w:rsid w:val="00694760"/>
    <w:rsid w:val="006A5528"/>
    <w:rsid w:val="006C252F"/>
    <w:rsid w:val="006C5B70"/>
    <w:rsid w:val="006D7551"/>
    <w:rsid w:val="006E2D6F"/>
    <w:rsid w:val="006E31F4"/>
    <w:rsid w:val="006E6ED6"/>
    <w:rsid w:val="007067B0"/>
    <w:rsid w:val="0071072D"/>
    <w:rsid w:val="00711D3F"/>
    <w:rsid w:val="00730C48"/>
    <w:rsid w:val="00744A37"/>
    <w:rsid w:val="007479A8"/>
    <w:rsid w:val="00751AE3"/>
    <w:rsid w:val="00767E88"/>
    <w:rsid w:val="00773933"/>
    <w:rsid w:val="007952FB"/>
    <w:rsid w:val="007976AB"/>
    <w:rsid w:val="007A1B19"/>
    <w:rsid w:val="007A3894"/>
    <w:rsid w:val="007A422B"/>
    <w:rsid w:val="007B0EA0"/>
    <w:rsid w:val="007B3F57"/>
    <w:rsid w:val="007B5C6A"/>
    <w:rsid w:val="007C7436"/>
    <w:rsid w:val="007E5570"/>
    <w:rsid w:val="007E59CD"/>
    <w:rsid w:val="007F4974"/>
    <w:rsid w:val="00801124"/>
    <w:rsid w:val="00806EC7"/>
    <w:rsid w:val="008638B5"/>
    <w:rsid w:val="00870A41"/>
    <w:rsid w:val="00873CFF"/>
    <w:rsid w:val="00880ED5"/>
    <w:rsid w:val="00891DBB"/>
    <w:rsid w:val="008946B5"/>
    <w:rsid w:val="008A5474"/>
    <w:rsid w:val="008B0362"/>
    <w:rsid w:val="008B14B5"/>
    <w:rsid w:val="008B733B"/>
    <w:rsid w:val="008C4303"/>
    <w:rsid w:val="008E0AED"/>
    <w:rsid w:val="008E183B"/>
    <w:rsid w:val="008E5CF9"/>
    <w:rsid w:val="008E6668"/>
    <w:rsid w:val="008F5DA7"/>
    <w:rsid w:val="0090503C"/>
    <w:rsid w:val="0091724E"/>
    <w:rsid w:val="009214D4"/>
    <w:rsid w:val="009325AA"/>
    <w:rsid w:val="009357EF"/>
    <w:rsid w:val="00965D13"/>
    <w:rsid w:val="00966D0C"/>
    <w:rsid w:val="00981041"/>
    <w:rsid w:val="0098649F"/>
    <w:rsid w:val="009B22D8"/>
    <w:rsid w:val="009D1B13"/>
    <w:rsid w:val="009E571B"/>
    <w:rsid w:val="009E7BC2"/>
    <w:rsid w:val="00A15EC0"/>
    <w:rsid w:val="00A16159"/>
    <w:rsid w:val="00A21E9F"/>
    <w:rsid w:val="00A34876"/>
    <w:rsid w:val="00A40A8B"/>
    <w:rsid w:val="00A43857"/>
    <w:rsid w:val="00A53EDE"/>
    <w:rsid w:val="00A568A8"/>
    <w:rsid w:val="00A62584"/>
    <w:rsid w:val="00A64340"/>
    <w:rsid w:val="00A646B7"/>
    <w:rsid w:val="00A6580A"/>
    <w:rsid w:val="00A660FB"/>
    <w:rsid w:val="00A7100B"/>
    <w:rsid w:val="00A75685"/>
    <w:rsid w:val="00A920FF"/>
    <w:rsid w:val="00A925A0"/>
    <w:rsid w:val="00AA0C66"/>
    <w:rsid w:val="00AA1C87"/>
    <w:rsid w:val="00AA42FD"/>
    <w:rsid w:val="00AB5794"/>
    <w:rsid w:val="00AC239C"/>
    <w:rsid w:val="00AC504B"/>
    <w:rsid w:val="00AC559A"/>
    <w:rsid w:val="00B00D94"/>
    <w:rsid w:val="00B14746"/>
    <w:rsid w:val="00B14FDD"/>
    <w:rsid w:val="00B264FB"/>
    <w:rsid w:val="00B3528F"/>
    <w:rsid w:val="00B42F32"/>
    <w:rsid w:val="00B61F16"/>
    <w:rsid w:val="00B62D97"/>
    <w:rsid w:val="00B83B9F"/>
    <w:rsid w:val="00B94FCD"/>
    <w:rsid w:val="00BA1E30"/>
    <w:rsid w:val="00BA2AC8"/>
    <w:rsid w:val="00BA2F01"/>
    <w:rsid w:val="00BA535A"/>
    <w:rsid w:val="00BA5DD1"/>
    <w:rsid w:val="00BC00BF"/>
    <w:rsid w:val="00BD10FE"/>
    <w:rsid w:val="00BD1735"/>
    <w:rsid w:val="00BE2206"/>
    <w:rsid w:val="00BE3047"/>
    <w:rsid w:val="00BE577D"/>
    <w:rsid w:val="00BE7E5A"/>
    <w:rsid w:val="00BF4C9A"/>
    <w:rsid w:val="00BF7378"/>
    <w:rsid w:val="00C03552"/>
    <w:rsid w:val="00C22286"/>
    <w:rsid w:val="00C31D72"/>
    <w:rsid w:val="00C42BE5"/>
    <w:rsid w:val="00C510B5"/>
    <w:rsid w:val="00C55599"/>
    <w:rsid w:val="00C57E9B"/>
    <w:rsid w:val="00C76C32"/>
    <w:rsid w:val="00C77ED7"/>
    <w:rsid w:val="00C8076A"/>
    <w:rsid w:val="00C83B8C"/>
    <w:rsid w:val="00C93304"/>
    <w:rsid w:val="00CA316B"/>
    <w:rsid w:val="00CB2D56"/>
    <w:rsid w:val="00CB57FE"/>
    <w:rsid w:val="00CB64A9"/>
    <w:rsid w:val="00CB6F65"/>
    <w:rsid w:val="00CC0FB4"/>
    <w:rsid w:val="00CC63CA"/>
    <w:rsid w:val="00CD2082"/>
    <w:rsid w:val="00CD3EB0"/>
    <w:rsid w:val="00CD7025"/>
    <w:rsid w:val="00CE5181"/>
    <w:rsid w:val="00CF4503"/>
    <w:rsid w:val="00D1103E"/>
    <w:rsid w:val="00D15431"/>
    <w:rsid w:val="00D31123"/>
    <w:rsid w:val="00D32B27"/>
    <w:rsid w:val="00D366CB"/>
    <w:rsid w:val="00D461CB"/>
    <w:rsid w:val="00D4670C"/>
    <w:rsid w:val="00D5210A"/>
    <w:rsid w:val="00D536A6"/>
    <w:rsid w:val="00D640E9"/>
    <w:rsid w:val="00D725A8"/>
    <w:rsid w:val="00D737E7"/>
    <w:rsid w:val="00D741D2"/>
    <w:rsid w:val="00D75948"/>
    <w:rsid w:val="00DA7C30"/>
    <w:rsid w:val="00DC6368"/>
    <w:rsid w:val="00DD1EC1"/>
    <w:rsid w:val="00DD4267"/>
    <w:rsid w:val="00DF4723"/>
    <w:rsid w:val="00DF5D66"/>
    <w:rsid w:val="00DF6DB6"/>
    <w:rsid w:val="00DF79C6"/>
    <w:rsid w:val="00E22EFA"/>
    <w:rsid w:val="00E3418C"/>
    <w:rsid w:val="00E35EDC"/>
    <w:rsid w:val="00E418DD"/>
    <w:rsid w:val="00E42D33"/>
    <w:rsid w:val="00E5092E"/>
    <w:rsid w:val="00E67A23"/>
    <w:rsid w:val="00E75275"/>
    <w:rsid w:val="00E80E34"/>
    <w:rsid w:val="00E9429F"/>
    <w:rsid w:val="00EA267C"/>
    <w:rsid w:val="00EA2996"/>
    <w:rsid w:val="00EB5D7B"/>
    <w:rsid w:val="00EB784A"/>
    <w:rsid w:val="00EC55C7"/>
    <w:rsid w:val="00ED29E0"/>
    <w:rsid w:val="00EE17C9"/>
    <w:rsid w:val="00EF0C96"/>
    <w:rsid w:val="00EF504B"/>
    <w:rsid w:val="00F077FF"/>
    <w:rsid w:val="00F07B8D"/>
    <w:rsid w:val="00F1300A"/>
    <w:rsid w:val="00F21AC1"/>
    <w:rsid w:val="00F246A7"/>
    <w:rsid w:val="00F246DE"/>
    <w:rsid w:val="00F36C5D"/>
    <w:rsid w:val="00F452EA"/>
    <w:rsid w:val="00F57D83"/>
    <w:rsid w:val="00F63B88"/>
    <w:rsid w:val="00F67726"/>
    <w:rsid w:val="00F72EF2"/>
    <w:rsid w:val="00F72EF9"/>
    <w:rsid w:val="00F73FAA"/>
    <w:rsid w:val="00F8046F"/>
    <w:rsid w:val="00FA378F"/>
    <w:rsid w:val="00FB3C73"/>
    <w:rsid w:val="00FB4399"/>
    <w:rsid w:val="00FC2A2C"/>
    <w:rsid w:val="00FC4795"/>
    <w:rsid w:val="00FC773B"/>
    <w:rsid w:val="00FE18CC"/>
    <w:rsid w:val="00FF39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17EC9"/>
  <w15:docId w15:val="{390B19A1-BDAD-47D8-A458-319210C5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4A9"/>
  </w:style>
  <w:style w:type="paragraph" w:styleId="Heading1">
    <w:name w:val="heading 1"/>
    <w:basedOn w:val="Normal"/>
    <w:next w:val="Normal"/>
    <w:link w:val="Heading1Char"/>
    <w:uiPriority w:val="9"/>
    <w:qFormat/>
    <w:rsid w:val="0047092D"/>
    <w:pPr>
      <w:keepNext/>
      <w:keepLines/>
      <w:pBdr>
        <w:bottom w:val="single" w:sz="4" w:space="1" w:color="50B4C8" w:themeColor="accent1"/>
      </w:pBdr>
      <w:spacing w:before="400" w:after="40" w:line="240" w:lineRule="auto"/>
      <w:outlineLvl w:val="0"/>
    </w:pPr>
    <w:rPr>
      <w:rFonts w:asciiTheme="majorHAnsi" w:eastAsiaTheme="majorEastAsia" w:hAnsiTheme="majorHAnsi" w:cstheme="majorBidi"/>
      <w:color w:val="50B4C8" w:themeColor="accent1"/>
      <w:sz w:val="32"/>
      <w:szCs w:val="32"/>
    </w:rPr>
  </w:style>
  <w:style w:type="paragraph" w:styleId="Heading2">
    <w:name w:val="heading 2"/>
    <w:basedOn w:val="Normal"/>
    <w:next w:val="Normal"/>
    <w:link w:val="Heading2Char"/>
    <w:uiPriority w:val="9"/>
    <w:unhideWhenUsed/>
    <w:qFormat/>
    <w:rsid w:val="002F759A"/>
    <w:pPr>
      <w:keepNext/>
      <w:keepLines/>
      <w:spacing w:before="160" w:line="240" w:lineRule="auto"/>
      <w:outlineLvl w:val="1"/>
    </w:pPr>
    <w:rPr>
      <w:rFonts w:asciiTheme="majorHAnsi" w:eastAsiaTheme="majorEastAsia" w:hAnsiTheme="majorHAnsi" w:cstheme="majorBidi"/>
      <w:color w:val="50B4C8" w:themeColor="accent1"/>
      <w:sz w:val="28"/>
      <w:szCs w:val="28"/>
    </w:rPr>
  </w:style>
  <w:style w:type="paragraph" w:styleId="Heading3">
    <w:name w:val="heading 3"/>
    <w:basedOn w:val="Normal"/>
    <w:next w:val="Normal"/>
    <w:link w:val="Heading3Char"/>
    <w:uiPriority w:val="9"/>
    <w:unhideWhenUsed/>
    <w:qFormat/>
    <w:rsid w:val="0047092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47092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7092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7092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7092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7092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7092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092D"/>
    <w:pPr>
      <w:spacing w:after="0" w:line="240" w:lineRule="auto"/>
      <w:contextualSpacing/>
    </w:pPr>
    <w:rPr>
      <w:rFonts w:asciiTheme="majorHAnsi" w:eastAsiaTheme="majorEastAsia" w:hAnsiTheme="majorHAnsi" w:cstheme="majorBidi"/>
      <w:color w:val="50B4C8" w:themeColor="accent1"/>
      <w:spacing w:val="-7"/>
      <w:sz w:val="64"/>
      <w:szCs w:val="64"/>
    </w:rPr>
  </w:style>
  <w:style w:type="character" w:customStyle="1" w:styleId="TitleChar">
    <w:name w:val="Title Char"/>
    <w:basedOn w:val="DefaultParagraphFont"/>
    <w:link w:val="Title"/>
    <w:uiPriority w:val="10"/>
    <w:rsid w:val="0047092D"/>
    <w:rPr>
      <w:rFonts w:asciiTheme="majorHAnsi" w:eastAsiaTheme="majorEastAsia" w:hAnsiTheme="majorHAnsi" w:cstheme="majorBidi"/>
      <w:color w:val="50B4C8" w:themeColor="accent1"/>
      <w:spacing w:val="-7"/>
      <w:sz w:val="64"/>
      <w:szCs w:val="64"/>
    </w:rPr>
  </w:style>
  <w:style w:type="paragraph" w:styleId="Subtitle">
    <w:name w:val="Subtitle"/>
    <w:basedOn w:val="Normal"/>
    <w:next w:val="Normal"/>
    <w:link w:val="SubtitleChar"/>
    <w:uiPriority w:val="11"/>
    <w:qFormat/>
    <w:rsid w:val="0047092D"/>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47092D"/>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47092D"/>
    <w:rPr>
      <w:rFonts w:asciiTheme="majorHAnsi" w:eastAsiaTheme="majorEastAsia" w:hAnsiTheme="majorHAnsi" w:cstheme="majorBidi"/>
      <w:color w:val="50B4C8" w:themeColor="accent1"/>
      <w:sz w:val="32"/>
      <w:szCs w:val="32"/>
    </w:rPr>
  </w:style>
  <w:style w:type="character" w:customStyle="1" w:styleId="Heading2Char">
    <w:name w:val="Heading 2 Char"/>
    <w:basedOn w:val="DefaultParagraphFont"/>
    <w:link w:val="Heading2"/>
    <w:uiPriority w:val="9"/>
    <w:rsid w:val="002F759A"/>
    <w:rPr>
      <w:rFonts w:asciiTheme="majorHAnsi" w:eastAsiaTheme="majorEastAsia" w:hAnsiTheme="majorHAnsi" w:cstheme="majorBidi"/>
      <w:color w:val="50B4C8" w:themeColor="accent1"/>
      <w:sz w:val="28"/>
      <w:szCs w:val="28"/>
    </w:rPr>
  </w:style>
  <w:style w:type="character" w:customStyle="1" w:styleId="Heading3Char">
    <w:name w:val="Heading 3 Char"/>
    <w:basedOn w:val="DefaultParagraphFont"/>
    <w:link w:val="Heading3"/>
    <w:uiPriority w:val="9"/>
    <w:rsid w:val="0047092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47092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7092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7092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7092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7092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7092D"/>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47092D"/>
    <w:rPr>
      <w:i/>
      <w:iCs/>
      <w:color w:val="595959" w:themeColor="text1" w:themeTint="A6"/>
    </w:rPr>
  </w:style>
  <w:style w:type="character" w:styleId="Emphasis">
    <w:name w:val="Emphasis"/>
    <w:basedOn w:val="DefaultParagraphFont"/>
    <w:uiPriority w:val="20"/>
    <w:qFormat/>
    <w:rsid w:val="0047092D"/>
    <w:rPr>
      <w:i/>
      <w:iCs/>
    </w:rPr>
  </w:style>
  <w:style w:type="character" w:styleId="IntenseEmphasis">
    <w:name w:val="Intense Emphasis"/>
    <w:basedOn w:val="DefaultParagraphFont"/>
    <w:uiPriority w:val="21"/>
    <w:qFormat/>
    <w:rsid w:val="0047092D"/>
    <w:rPr>
      <w:b/>
      <w:bCs/>
      <w:i/>
      <w:iCs/>
    </w:rPr>
  </w:style>
  <w:style w:type="character" w:styleId="Strong">
    <w:name w:val="Strong"/>
    <w:basedOn w:val="DefaultParagraphFont"/>
    <w:uiPriority w:val="22"/>
    <w:qFormat/>
    <w:rsid w:val="0047092D"/>
    <w:rPr>
      <w:b/>
      <w:bCs/>
    </w:rPr>
  </w:style>
  <w:style w:type="paragraph" w:styleId="Quote">
    <w:name w:val="Quote"/>
    <w:basedOn w:val="Normal"/>
    <w:next w:val="Normal"/>
    <w:link w:val="QuoteChar"/>
    <w:uiPriority w:val="29"/>
    <w:qFormat/>
    <w:rsid w:val="0047092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7092D"/>
    <w:rPr>
      <w:i/>
      <w:iCs/>
    </w:rPr>
  </w:style>
  <w:style w:type="paragraph" w:styleId="IntenseQuote">
    <w:name w:val="Intense Quote"/>
    <w:basedOn w:val="Normal"/>
    <w:next w:val="Normal"/>
    <w:link w:val="IntenseQuoteChar"/>
    <w:uiPriority w:val="30"/>
    <w:qFormat/>
    <w:rsid w:val="0047092D"/>
    <w:pPr>
      <w:spacing w:before="100" w:beforeAutospacing="1" w:after="240"/>
      <w:ind w:left="864" w:right="864"/>
      <w:jc w:val="center"/>
    </w:pPr>
    <w:rPr>
      <w:rFonts w:asciiTheme="majorHAnsi" w:eastAsiaTheme="majorEastAsia" w:hAnsiTheme="majorHAnsi" w:cstheme="majorBidi"/>
      <w:color w:val="50B4C8" w:themeColor="accent1"/>
      <w:sz w:val="28"/>
      <w:szCs w:val="28"/>
    </w:rPr>
  </w:style>
  <w:style w:type="character" w:customStyle="1" w:styleId="IntenseQuoteChar">
    <w:name w:val="Intense Quote Char"/>
    <w:basedOn w:val="DefaultParagraphFont"/>
    <w:link w:val="IntenseQuote"/>
    <w:uiPriority w:val="30"/>
    <w:rsid w:val="0047092D"/>
    <w:rPr>
      <w:rFonts w:asciiTheme="majorHAnsi" w:eastAsiaTheme="majorEastAsia" w:hAnsiTheme="majorHAnsi" w:cstheme="majorBidi"/>
      <w:color w:val="50B4C8" w:themeColor="accent1"/>
      <w:sz w:val="28"/>
      <w:szCs w:val="28"/>
    </w:rPr>
  </w:style>
  <w:style w:type="character" w:styleId="SubtleReference">
    <w:name w:val="Subtle Reference"/>
    <w:basedOn w:val="DefaultParagraphFont"/>
    <w:uiPriority w:val="31"/>
    <w:qFormat/>
    <w:rsid w:val="0047092D"/>
    <w:rPr>
      <w:smallCaps/>
      <w:color w:val="404040" w:themeColor="text1" w:themeTint="BF"/>
    </w:rPr>
  </w:style>
  <w:style w:type="character" w:styleId="IntenseReference">
    <w:name w:val="Intense Reference"/>
    <w:basedOn w:val="DefaultParagraphFont"/>
    <w:uiPriority w:val="32"/>
    <w:qFormat/>
    <w:rsid w:val="0047092D"/>
    <w:rPr>
      <w:b/>
      <w:bCs/>
      <w:smallCaps/>
      <w:u w:val="single"/>
    </w:rPr>
  </w:style>
  <w:style w:type="character" w:styleId="BookTitle">
    <w:name w:val="Book Title"/>
    <w:basedOn w:val="DefaultParagraphFont"/>
    <w:uiPriority w:val="33"/>
    <w:qFormat/>
    <w:rsid w:val="0047092D"/>
    <w:rPr>
      <w:b/>
      <w:bCs/>
      <w:smallCaps/>
    </w:rPr>
  </w:style>
  <w:style w:type="paragraph" w:styleId="Caption">
    <w:name w:val="caption"/>
    <w:basedOn w:val="Normal"/>
    <w:next w:val="Normal"/>
    <w:uiPriority w:val="35"/>
    <w:semiHidden/>
    <w:unhideWhenUsed/>
    <w:qFormat/>
    <w:rsid w:val="0047092D"/>
    <w:pPr>
      <w:spacing w:line="240" w:lineRule="auto"/>
    </w:pPr>
    <w:rPr>
      <w:b/>
      <w:bCs/>
      <w:color w:val="404040" w:themeColor="text1" w:themeTint="BF"/>
    </w:rPr>
  </w:style>
  <w:style w:type="paragraph" w:styleId="TOCHeading">
    <w:name w:val="TOC Heading"/>
    <w:basedOn w:val="Heading1"/>
    <w:next w:val="Normal"/>
    <w:uiPriority w:val="39"/>
    <w:unhideWhenUsed/>
    <w:qFormat/>
    <w:rsid w:val="0047092D"/>
    <w:pPr>
      <w:outlineLvl w:val="9"/>
    </w:pPr>
  </w:style>
  <w:style w:type="paragraph" w:styleId="NoSpacing">
    <w:name w:val="No Spacing"/>
    <w:uiPriority w:val="1"/>
    <w:qFormat/>
    <w:rsid w:val="0047092D"/>
    <w:pPr>
      <w:spacing w:after="0" w:line="240" w:lineRule="auto"/>
    </w:pPr>
  </w:style>
  <w:style w:type="paragraph" w:styleId="ListParagraph">
    <w:name w:val="List Paragraph"/>
    <w:basedOn w:val="Normal"/>
    <w:link w:val="ListParagraphChar"/>
    <w:uiPriority w:val="34"/>
    <w:qFormat/>
    <w:rsid w:val="0047092D"/>
    <w:pPr>
      <w:ind w:left="720"/>
      <w:contextualSpacing/>
    </w:pPr>
  </w:style>
  <w:style w:type="paragraph" w:styleId="Header">
    <w:name w:val="header"/>
    <w:basedOn w:val="Normal"/>
    <w:link w:val="HeaderChar"/>
    <w:uiPriority w:val="99"/>
    <w:unhideWhenUsed/>
    <w:rsid w:val="006364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4E5"/>
  </w:style>
  <w:style w:type="paragraph" w:styleId="Footer">
    <w:name w:val="footer"/>
    <w:basedOn w:val="Normal"/>
    <w:link w:val="FooterChar"/>
    <w:uiPriority w:val="99"/>
    <w:unhideWhenUsed/>
    <w:rsid w:val="006364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4E5"/>
  </w:style>
  <w:style w:type="paragraph" w:styleId="TOC2">
    <w:name w:val="toc 2"/>
    <w:basedOn w:val="Normal"/>
    <w:next w:val="Normal"/>
    <w:autoRedefine/>
    <w:uiPriority w:val="39"/>
    <w:unhideWhenUsed/>
    <w:rsid w:val="008F5DA7"/>
    <w:pPr>
      <w:spacing w:after="100" w:line="259" w:lineRule="auto"/>
      <w:ind w:left="220"/>
    </w:pPr>
    <w:rPr>
      <w:rFonts w:cs="Times New Roman"/>
      <w:sz w:val="22"/>
      <w:szCs w:val="22"/>
      <w:lang w:val="sl-SI" w:eastAsia="sl-SI"/>
    </w:rPr>
  </w:style>
  <w:style w:type="paragraph" w:styleId="TOC1">
    <w:name w:val="toc 1"/>
    <w:basedOn w:val="Normal"/>
    <w:next w:val="Normal"/>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TOC3">
    <w:name w:val="toc 3"/>
    <w:basedOn w:val="Normal"/>
    <w:next w:val="Normal"/>
    <w:autoRedefine/>
    <w:uiPriority w:val="39"/>
    <w:unhideWhenUsed/>
    <w:rsid w:val="008F5DA7"/>
    <w:pPr>
      <w:spacing w:after="100" w:line="259" w:lineRule="auto"/>
      <w:ind w:left="440"/>
    </w:pPr>
    <w:rPr>
      <w:rFonts w:cs="Times New Roman"/>
      <w:sz w:val="22"/>
      <w:szCs w:val="22"/>
      <w:lang w:val="sl-SI" w:eastAsia="sl-SI"/>
    </w:rPr>
  </w:style>
  <w:style w:type="character" w:styleId="Hyperlink">
    <w:name w:val="Hyperlink"/>
    <w:basedOn w:val="DefaultParagraphFont"/>
    <w:uiPriority w:val="99"/>
    <w:unhideWhenUsed/>
    <w:rsid w:val="008F5DA7"/>
    <w:rPr>
      <w:color w:val="2370CD" w:themeColor="hyperlink"/>
      <w:u w:val="single"/>
    </w:rPr>
  </w:style>
  <w:style w:type="table" w:styleId="TableGrid">
    <w:name w:val="Table Grid"/>
    <w:basedOn w:val="TableNormal"/>
    <w:rsid w:val="009E5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1B"/>
    <w:rPr>
      <w:rFonts w:ascii="Segoe UI" w:hAnsi="Segoe UI" w:cs="Segoe UI"/>
      <w:sz w:val="18"/>
      <w:szCs w:val="18"/>
    </w:rPr>
  </w:style>
  <w:style w:type="paragraph" w:customStyle="1" w:styleId="Alineja">
    <w:name w:val="Alineja"/>
    <w:basedOn w:val="Normal"/>
    <w:next w:val="List"/>
    <w:qFormat/>
    <w:rsid w:val="00E80E34"/>
    <w:pPr>
      <w:numPr>
        <w:numId w:val="8"/>
      </w:numPr>
      <w:spacing w:after="0" w:line="276" w:lineRule="auto"/>
      <w:jc w:val="both"/>
    </w:pPr>
    <w:rPr>
      <w:rFonts w:ascii="Arial Unicode MS" w:eastAsia="Times New Roman" w:hAnsi="Arial Unicode MS" w:cs="Times New Roman"/>
      <w:lang w:val="sl-SI" w:eastAsia="en-US"/>
    </w:rPr>
  </w:style>
  <w:style w:type="paragraph" w:styleId="List">
    <w:name w:val="List"/>
    <w:basedOn w:val="Normal"/>
    <w:uiPriority w:val="99"/>
    <w:semiHidden/>
    <w:unhideWhenUsed/>
    <w:rsid w:val="00E80E34"/>
    <w:pPr>
      <w:ind w:left="283" w:hanging="283"/>
      <w:contextualSpacing/>
    </w:pPr>
  </w:style>
  <w:style w:type="paragraph" w:styleId="FootnoteText">
    <w:name w:val="footnote text"/>
    <w:basedOn w:val="Normal"/>
    <w:link w:val="FootnoteTextChar"/>
    <w:uiPriority w:val="99"/>
    <w:unhideWhenUsed/>
    <w:rsid w:val="00E80E34"/>
    <w:pPr>
      <w:spacing w:after="0" w:line="240" w:lineRule="auto"/>
    </w:pPr>
  </w:style>
  <w:style w:type="character" w:customStyle="1" w:styleId="FootnoteTextChar">
    <w:name w:val="Footnote Text Char"/>
    <w:basedOn w:val="DefaultParagraphFont"/>
    <w:link w:val="FootnoteText"/>
    <w:uiPriority w:val="99"/>
    <w:rsid w:val="00E80E34"/>
  </w:style>
  <w:style w:type="character" w:styleId="FootnoteReference">
    <w:name w:val="footnote reference"/>
    <w:basedOn w:val="DefaultParagraphFont"/>
    <w:uiPriority w:val="99"/>
    <w:semiHidden/>
    <w:unhideWhenUsed/>
    <w:rsid w:val="00E80E34"/>
    <w:rPr>
      <w:vertAlign w:val="superscript"/>
    </w:rPr>
  </w:style>
  <w:style w:type="character" w:styleId="CommentReference">
    <w:name w:val="annotation reference"/>
    <w:basedOn w:val="DefaultParagraphFont"/>
    <w:uiPriority w:val="99"/>
    <w:semiHidden/>
    <w:unhideWhenUsed/>
    <w:rsid w:val="00A64340"/>
    <w:rPr>
      <w:sz w:val="16"/>
      <w:szCs w:val="16"/>
    </w:rPr>
  </w:style>
  <w:style w:type="paragraph" w:styleId="CommentText">
    <w:name w:val="annotation text"/>
    <w:basedOn w:val="Normal"/>
    <w:link w:val="CommentTextChar"/>
    <w:uiPriority w:val="99"/>
    <w:semiHidden/>
    <w:unhideWhenUsed/>
    <w:rsid w:val="00A64340"/>
    <w:pPr>
      <w:spacing w:line="240" w:lineRule="auto"/>
    </w:pPr>
  </w:style>
  <w:style w:type="character" w:customStyle="1" w:styleId="CommentTextChar">
    <w:name w:val="Comment Text Char"/>
    <w:basedOn w:val="DefaultParagraphFont"/>
    <w:link w:val="CommentText"/>
    <w:uiPriority w:val="99"/>
    <w:semiHidden/>
    <w:rsid w:val="00A64340"/>
  </w:style>
  <w:style w:type="paragraph" w:styleId="CommentSubject">
    <w:name w:val="annotation subject"/>
    <w:basedOn w:val="CommentText"/>
    <w:next w:val="CommentText"/>
    <w:link w:val="CommentSubjectChar"/>
    <w:uiPriority w:val="99"/>
    <w:semiHidden/>
    <w:unhideWhenUsed/>
    <w:rsid w:val="00A64340"/>
    <w:rPr>
      <w:b/>
      <w:bCs/>
    </w:rPr>
  </w:style>
  <w:style w:type="character" w:customStyle="1" w:styleId="CommentSubjectChar">
    <w:name w:val="Comment Subject Char"/>
    <w:basedOn w:val="CommentTextChar"/>
    <w:link w:val="CommentSubject"/>
    <w:uiPriority w:val="99"/>
    <w:semiHidden/>
    <w:rsid w:val="00A64340"/>
    <w:rPr>
      <w:b/>
      <w:bCs/>
    </w:rPr>
  </w:style>
  <w:style w:type="paragraph" w:styleId="EndnoteText">
    <w:name w:val="endnote text"/>
    <w:basedOn w:val="Normal"/>
    <w:link w:val="EndnoteTextChar"/>
    <w:uiPriority w:val="99"/>
    <w:semiHidden/>
    <w:unhideWhenUsed/>
    <w:rsid w:val="00604652"/>
    <w:pPr>
      <w:spacing w:after="0" w:line="240" w:lineRule="auto"/>
    </w:pPr>
  </w:style>
  <w:style w:type="character" w:customStyle="1" w:styleId="EndnoteTextChar">
    <w:name w:val="Endnote Text Char"/>
    <w:basedOn w:val="DefaultParagraphFont"/>
    <w:link w:val="EndnoteText"/>
    <w:uiPriority w:val="99"/>
    <w:semiHidden/>
    <w:rsid w:val="00604652"/>
  </w:style>
  <w:style w:type="character" w:styleId="EndnoteReference">
    <w:name w:val="endnote reference"/>
    <w:basedOn w:val="DefaultParagraphFont"/>
    <w:uiPriority w:val="99"/>
    <w:semiHidden/>
    <w:unhideWhenUsed/>
    <w:rsid w:val="00604652"/>
    <w:rPr>
      <w:vertAlign w:val="superscript"/>
    </w:rPr>
  </w:style>
  <w:style w:type="character" w:customStyle="1" w:styleId="ListParagraphChar">
    <w:name w:val="List Paragraph Char"/>
    <w:basedOn w:val="DefaultParagraphFont"/>
    <w:link w:val="ListParagraph"/>
    <w:uiPriority w:val="34"/>
    <w:locked/>
    <w:rsid w:val="0071072D"/>
  </w:style>
  <w:style w:type="paragraph" w:styleId="BodyTextIndent2">
    <w:name w:val="Body Text Indent 2"/>
    <w:basedOn w:val="Normal"/>
    <w:link w:val="BodyTextIndent2Char"/>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BodyTextIndent2Char">
    <w:name w:val="Body Text Indent 2 Char"/>
    <w:basedOn w:val="DefaultParagraphFont"/>
    <w:link w:val="BodyTextIndent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NoList"/>
    <w:uiPriority w:val="99"/>
    <w:semiHidden/>
    <w:unhideWhenUsed/>
    <w:rsid w:val="0071072D"/>
  </w:style>
  <w:style w:type="paragraph" w:styleId="NormalWeb">
    <w:name w:val="Normal (Web)"/>
    <w:basedOn w:val="Normal"/>
    <w:uiPriority w:val="99"/>
    <w:semiHidden/>
    <w:unhideWhenUsed/>
    <w:rsid w:val="007107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FollowedHyperlink">
    <w:name w:val="FollowedHyperlink"/>
    <w:basedOn w:val="DefaultParagraphFont"/>
    <w:uiPriority w:val="99"/>
    <w:semiHidden/>
    <w:unhideWhenUsed/>
    <w:rsid w:val="0071072D"/>
    <w:rPr>
      <w:color w:val="877589" w:themeColor="followedHyperlink"/>
      <w:u w:val="single"/>
    </w:rPr>
  </w:style>
  <w:style w:type="paragraph" w:customStyle="1" w:styleId="Tekst">
    <w:name w:val="Tekst"/>
    <w:basedOn w:val="Normal"/>
    <w:qFormat/>
    <w:rsid w:val="00BC00BF"/>
    <w:pPr>
      <w:spacing w:after="0" w:line="274" w:lineRule="auto"/>
      <w:jc w:val="both"/>
    </w:pPr>
    <w:rPr>
      <w:rFonts w:asciiTheme="majorHAnsi" w:eastAsiaTheme="minorHAnsi" w:hAnsiTheme="majorHAnsi"/>
      <w:w w:val="105"/>
      <w:sz w:val="22"/>
      <w:szCs w:val="22"/>
      <w:lang w:val="en-GB" w:eastAsia="en-US"/>
    </w:rPr>
  </w:style>
  <w:style w:type="character" w:styleId="PageNumber">
    <w:name w:val="page number"/>
    <w:basedOn w:val="DefaultParagraphFont"/>
    <w:uiPriority w:val="99"/>
    <w:semiHidden/>
    <w:unhideWhenUsed/>
    <w:rsid w:val="00BC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5728">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82470">
      <w:bodyDiv w:val="1"/>
      <w:marLeft w:val="0"/>
      <w:marRight w:val="0"/>
      <w:marTop w:val="0"/>
      <w:marBottom w:val="0"/>
      <w:divBdr>
        <w:top w:val="none" w:sz="0" w:space="0" w:color="auto"/>
        <w:left w:val="none" w:sz="0" w:space="0" w:color="auto"/>
        <w:bottom w:val="none" w:sz="0" w:space="0" w:color="auto"/>
        <w:right w:val="none" w:sz="0" w:space="0" w:color="auto"/>
      </w:divBdr>
    </w:div>
    <w:div w:id="1134637726">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15849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etropolitanska">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ska">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8E98B691-A0E8-D245-A8BA-0F7C63FA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C:\Users\Anže\AppData\Roaming\Microsoft\Templates\Načrt s ploskvijo (prazno).dotx</Template>
  <TotalTime>3</TotalTime>
  <Pages>8</Pages>
  <Words>1947</Words>
  <Characters>11103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Žajdela</dc:creator>
  <cp:keywords/>
  <dc:description/>
  <cp:lastModifiedBy>Tamara Žajdela</cp:lastModifiedBy>
  <cp:revision>5</cp:revision>
  <cp:lastPrinted>2014-04-23T18:15:00Z</cp:lastPrinted>
  <dcterms:created xsi:type="dcterms:W3CDTF">2017-10-23T11:12:00Z</dcterms:created>
  <dcterms:modified xsi:type="dcterms:W3CDTF">2017-10-24T11:52:00Z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