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39" w:rsidRDefault="00D71869">
      <w:pPr>
        <w:pStyle w:val="Standard"/>
        <w:tabs>
          <w:tab w:val="right" w:pos="9354"/>
        </w:tabs>
        <w:spacing w:after="0" w:line="240" w:lineRule="auto"/>
      </w:pPr>
      <w:r>
        <w:rPr>
          <w:rFonts w:cs="Calibri"/>
        </w:rPr>
        <w:t xml:space="preserve">                                                                                                                  </w:t>
      </w:r>
      <w:r w:rsidR="00686A4A">
        <w:rPr>
          <w:rFonts w:cs="Calibri"/>
        </w:rPr>
        <w:t xml:space="preserve">                         </w:t>
      </w:r>
      <w:r w:rsidR="00686A4A" w:rsidRPr="00686A4A">
        <w:rPr>
          <w:rFonts w:cs="Calibri"/>
          <w:b/>
        </w:rPr>
        <w:t>DOPOLNJEN</w:t>
      </w:r>
      <w:r w:rsidR="00374BC9">
        <w:rPr>
          <w:rFonts w:cs="Calibri"/>
          <w:b/>
        </w:rPr>
        <w:t>I</w:t>
      </w:r>
      <w:r w:rsidR="00686A4A">
        <w:rPr>
          <w:rFonts w:cs="Calibri"/>
        </w:rPr>
        <w:t xml:space="preserve"> </w:t>
      </w:r>
      <w:r>
        <w:rPr>
          <w:rFonts w:cs="Calibri"/>
        </w:rPr>
        <w:t xml:space="preserve"> </w:t>
      </w:r>
      <w:r>
        <w:rPr>
          <w:rFonts w:cs="Calibri"/>
          <w:b/>
        </w:rPr>
        <w:t>OSNUTEK</w:t>
      </w:r>
    </w:p>
    <w:p w:rsidR="00582939" w:rsidRDefault="00582939">
      <w:pPr>
        <w:pStyle w:val="Standard"/>
        <w:tabs>
          <w:tab w:val="right" w:pos="9354"/>
        </w:tabs>
        <w:spacing w:after="0" w:line="240" w:lineRule="auto"/>
        <w:rPr>
          <w:rFonts w:cs="Calibri"/>
        </w:rPr>
      </w:pPr>
    </w:p>
    <w:p w:rsidR="00582939" w:rsidRDefault="00582939">
      <w:pPr>
        <w:pStyle w:val="Standard"/>
        <w:tabs>
          <w:tab w:val="right" w:pos="9354"/>
        </w:tabs>
        <w:spacing w:after="0" w:line="240" w:lineRule="auto"/>
        <w:rPr>
          <w:rFonts w:cs="Calibri"/>
        </w:rPr>
      </w:pPr>
    </w:p>
    <w:p w:rsidR="00582939" w:rsidRDefault="00D71869">
      <w:pPr>
        <w:pStyle w:val="Standard"/>
        <w:tabs>
          <w:tab w:val="right" w:pos="9354"/>
        </w:tabs>
        <w:spacing w:after="0" w:line="240" w:lineRule="auto"/>
      </w:pPr>
      <w:r>
        <w:rPr>
          <w:rFonts w:cs="Calibri"/>
        </w:rPr>
        <w:t xml:space="preserve">Na podlagi 61. člena Zakona o prostorskem načrtovanju </w:t>
      </w:r>
      <w:r>
        <w:rPr>
          <w:rFonts w:eastAsia="Times New Roman" w:cs="Calibri"/>
          <w:sz w:val="24"/>
          <w:szCs w:val="24"/>
          <w:lang w:eastAsia="sl-SI"/>
        </w:rPr>
        <w:t xml:space="preserve">(Uradni list RS, št. 33/07, 70/08 – ZVO-1B, 108/09, 80/10 – ZUPUDPP, 106/10 – ZUPUDPP – popr., 43/11 – ZKZ-C, 57/12 in 109/2012 in 35/13-skl. US:U-I-43/13-8) </w:t>
      </w:r>
      <w:r>
        <w:rPr>
          <w:rFonts w:cs="Calibri"/>
        </w:rPr>
        <w:t>in 15. člena Statuta občine Šempeter - Vrtojba (Ur. l. RS, št. 45/2013) je Občinski svet Občine Šempeter-Vrtojba dne ……………. sprejel</w:t>
      </w:r>
    </w:p>
    <w:p w:rsidR="00582939" w:rsidRDefault="00582939">
      <w:pPr>
        <w:pStyle w:val="Standard"/>
        <w:tabs>
          <w:tab w:val="right" w:pos="9354"/>
        </w:tabs>
        <w:spacing w:after="0" w:line="240" w:lineRule="auto"/>
        <w:rPr>
          <w:rFonts w:cs="Calibri"/>
        </w:rPr>
      </w:pPr>
    </w:p>
    <w:p w:rsidR="00582939" w:rsidRDefault="00582939">
      <w:pPr>
        <w:pStyle w:val="Standard"/>
        <w:rPr>
          <w:rFonts w:cs="Calibri"/>
        </w:rPr>
      </w:pPr>
    </w:p>
    <w:p w:rsidR="00C911BF" w:rsidRDefault="00C911BF">
      <w:pPr>
        <w:pStyle w:val="Standard"/>
        <w:rPr>
          <w:rFonts w:cs="Calibri"/>
        </w:rPr>
      </w:pPr>
    </w:p>
    <w:p w:rsidR="00582939" w:rsidRDefault="00D71869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ODLOK</w:t>
      </w:r>
    </w:p>
    <w:p w:rsidR="00582939" w:rsidRDefault="00D71869">
      <w:pPr>
        <w:pStyle w:val="Standard"/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o spremembah in dopolnitvah Odloka o občinskem podrobnem prostorskem načrtu</w:t>
      </w:r>
    </w:p>
    <w:p w:rsidR="00582939" w:rsidRDefault="00D71869">
      <w:pPr>
        <w:pStyle w:val="Standard"/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Mlake (Ledine) v Šempetru pri Gorici – 1. faza, spremembe in dopolnitve 2014</w:t>
      </w:r>
    </w:p>
    <w:p w:rsidR="00582939" w:rsidRDefault="00582939">
      <w:pPr>
        <w:pStyle w:val="Standard"/>
        <w:jc w:val="center"/>
        <w:rPr>
          <w:rFonts w:cs="Calibri"/>
          <w:b/>
        </w:rPr>
      </w:pPr>
    </w:p>
    <w:p w:rsidR="00582939" w:rsidRDefault="00D71869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Ι. SPLOŠNE DOLOČBE</w:t>
      </w:r>
    </w:p>
    <w:p w:rsidR="00582939" w:rsidRDefault="00D71869">
      <w:pPr>
        <w:pStyle w:val="Odstavekseznama"/>
        <w:ind w:left="15"/>
        <w:jc w:val="center"/>
        <w:rPr>
          <w:rFonts w:cs="Calibri"/>
          <w:b/>
        </w:rPr>
      </w:pPr>
      <w:r>
        <w:rPr>
          <w:rFonts w:cs="Calibri"/>
          <w:b/>
        </w:rPr>
        <w:t>1. člen</w:t>
      </w:r>
    </w:p>
    <w:p w:rsidR="00582939" w:rsidRDefault="00D71869">
      <w:pPr>
        <w:pStyle w:val="Odstavekseznama"/>
        <w:ind w:left="15"/>
        <w:jc w:val="center"/>
        <w:rPr>
          <w:rFonts w:cs="Calibri"/>
          <w:b/>
        </w:rPr>
      </w:pPr>
      <w:r>
        <w:rPr>
          <w:rFonts w:cs="Calibri"/>
          <w:b/>
        </w:rPr>
        <w:t>(podlaga)</w:t>
      </w:r>
    </w:p>
    <w:p w:rsidR="00582939" w:rsidRDefault="00D71869">
      <w:pPr>
        <w:pStyle w:val="Standard"/>
        <w:spacing w:after="0" w:line="240" w:lineRule="auto"/>
      </w:pPr>
      <w:r>
        <w:rPr>
          <w:rFonts w:cs="Calibri"/>
        </w:rPr>
        <w:t>S tem odlokom se ob upoštevanju Občinskega prostorskega načrta Občine Šempeter-Vrtojba (Ur. l. RS št. 7/2014, 21/2014) sprejmejo spremembe in dopolnitve</w:t>
      </w:r>
      <w:r>
        <w:rPr>
          <w:rFonts w:cs="Calibri"/>
          <w:b/>
        </w:rPr>
        <w:t xml:space="preserve"> </w:t>
      </w:r>
      <w:r>
        <w:rPr>
          <w:rFonts w:cs="Calibri"/>
        </w:rPr>
        <w:t>Odloka o občinskem podrobnem prostorskem načrtu Mlake (Ledine) v Šempetru pri Gorici – 1. faza, spremembe in dopolnitve 2014</w:t>
      </w:r>
    </w:p>
    <w:p w:rsidR="00582939" w:rsidRDefault="00D71869">
      <w:pPr>
        <w:pStyle w:val="Odstavekseznama"/>
        <w:ind w:left="0"/>
        <w:rPr>
          <w:rFonts w:cs="Calibri"/>
        </w:rPr>
      </w:pPr>
      <w:r>
        <w:rPr>
          <w:rFonts w:cs="Calibri"/>
        </w:rPr>
        <w:t>– v nadaljevanju odlok o OPPN. Odlok o OPPN je bil objavljen v Uradnem listu RS št. 37/2014.</w:t>
      </w:r>
    </w:p>
    <w:p w:rsidR="00582939" w:rsidRDefault="00582939">
      <w:pPr>
        <w:pStyle w:val="Odstavekseznama"/>
        <w:ind w:left="0"/>
        <w:rPr>
          <w:rFonts w:cs="Calibri"/>
        </w:rPr>
      </w:pPr>
    </w:p>
    <w:p w:rsidR="00582939" w:rsidRDefault="00D71869">
      <w:pPr>
        <w:pStyle w:val="Odstavekseznama"/>
        <w:ind w:left="15"/>
        <w:jc w:val="center"/>
        <w:rPr>
          <w:rFonts w:cs="Calibri"/>
          <w:b/>
        </w:rPr>
      </w:pPr>
      <w:r>
        <w:rPr>
          <w:rFonts w:cs="Calibri"/>
          <w:b/>
        </w:rPr>
        <w:t>2. člen</w:t>
      </w:r>
    </w:p>
    <w:p w:rsidR="00582939" w:rsidRDefault="00D71869">
      <w:pPr>
        <w:pStyle w:val="esegmenth4"/>
        <w:ind w:left="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(vsebina sprememb in dopolnitev)</w:t>
      </w:r>
    </w:p>
    <w:p w:rsidR="00582939" w:rsidRDefault="00D71869">
      <w:pPr>
        <w:pStyle w:val="Navadensplet"/>
        <w:ind w:left="15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Spremembe in dopolnitve odloka o OPPN se nanašajo na velikost dopustnih odstopanj od funkcionalnih, oblikovalskih in tehničnih rešitev ter na etapnost izvedbe. Ostale vsebine odloka o OPPN se ne spreminjajo.</w:t>
      </w:r>
    </w:p>
    <w:p w:rsidR="00582939" w:rsidRDefault="00582939">
      <w:pPr>
        <w:jc w:val="center"/>
        <w:rPr>
          <w:rFonts w:cs="Calibri"/>
          <w:b/>
        </w:rPr>
      </w:pPr>
    </w:p>
    <w:p w:rsidR="00582939" w:rsidRDefault="00D71869">
      <w:pPr>
        <w:jc w:val="center"/>
        <w:rPr>
          <w:rFonts w:cs="Calibri"/>
          <w:b/>
        </w:rPr>
      </w:pPr>
      <w:r>
        <w:rPr>
          <w:rFonts w:cs="Calibri"/>
          <w:b/>
        </w:rPr>
        <w:t>II. VSEBINSKE DOLOČBE</w:t>
      </w:r>
    </w:p>
    <w:p w:rsidR="00582939" w:rsidRDefault="00D71869">
      <w:pPr>
        <w:pStyle w:val="Odstavekseznama"/>
        <w:ind w:left="15"/>
        <w:jc w:val="center"/>
        <w:rPr>
          <w:rFonts w:cs="Calibri"/>
          <w:b/>
        </w:rPr>
      </w:pPr>
      <w:r>
        <w:rPr>
          <w:rFonts w:cs="Calibri"/>
          <w:b/>
        </w:rPr>
        <w:t>3. člen</w:t>
      </w:r>
    </w:p>
    <w:p w:rsidR="00582939" w:rsidRDefault="00374BC9">
      <w:pPr>
        <w:pStyle w:val="Odstavekseznama"/>
        <w:spacing w:after="210" w:line="240" w:lineRule="auto"/>
        <w:ind w:left="15"/>
        <w:jc w:val="center"/>
        <w:rPr>
          <w:rFonts w:eastAsia="Times New Roman" w:cs="Calibri"/>
          <w:b/>
          <w:bCs/>
          <w:color w:val="333333"/>
          <w:lang w:eastAsia="sl-SI"/>
        </w:rPr>
      </w:pPr>
      <w:r>
        <w:rPr>
          <w:rFonts w:eastAsia="Times New Roman" w:cs="Calibri"/>
          <w:b/>
          <w:bCs/>
          <w:color w:val="333333"/>
          <w:lang w:eastAsia="sl-SI"/>
        </w:rPr>
        <w:t xml:space="preserve"> </w:t>
      </w:r>
      <w:r w:rsidR="00D71869">
        <w:rPr>
          <w:rFonts w:eastAsia="Times New Roman" w:cs="Calibri"/>
          <w:b/>
          <w:bCs/>
          <w:color w:val="333333"/>
          <w:lang w:eastAsia="sl-SI"/>
        </w:rPr>
        <w:t>(etapnost izvedbe)</w:t>
      </w:r>
    </w:p>
    <w:p w:rsidR="00582939" w:rsidRDefault="00D71869">
      <w:pPr>
        <w:pStyle w:val="Odstavekseznama"/>
        <w:spacing w:after="210" w:line="240" w:lineRule="auto"/>
        <w:ind w:left="15"/>
        <w:rPr>
          <w:rFonts w:eastAsia="Times New Roman" w:cs="Calibri"/>
          <w:bCs/>
          <w:lang w:eastAsia="sl-SI"/>
        </w:rPr>
      </w:pPr>
      <w:r>
        <w:rPr>
          <w:rFonts w:eastAsia="Times New Roman" w:cs="Calibri"/>
          <w:bCs/>
          <w:lang w:eastAsia="sl-SI"/>
        </w:rPr>
        <w:t>Na koncu 13. člena se doda besedilo, ki glasi:</w:t>
      </w:r>
    </w:p>
    <w:p w:rsidR="00582939" w:rsidRPr="000671DB" w:rsidRDefault="00D71869">
      <w:pPr>
        <w:pStyle w:val="Standard"/>
        <w:tabs>
          <w:tab w:val="left" w:pos="1959"/>
          <w:tab w:val="left" w:pos="3255"/>
          <w:tab w:val="left" w:pos="3975"/>
          <w:tab w:val="left" w:pos="4695"/>
          <w:tab w:val="left" w:pos="5415"/>
          <w:tab w:val="left" w:pos="6135"/>
          <w:tab w:val="left" w:pos="6855"/>
          <w:tab w:val="left" w:pos="7575"/>
          <w:tab w:val="left" w:pos="8295"/>
          <w:tab w:val="left" w:pos="9015"/>
          <w:tab w:val="left" w:pos="9735"/>
          <w:tab w:val="left" w:pos="10455"/>
          <w:tab w:val="left" w:pos="11175"/>
          <w:tab w:val="left" w:pos="11895"/>
          <w:tab w:val="left" w:pos="12615"/>
          <w:tab w:val="left" w:pos="13335"/>
          <w:tab w:val="left" w:pos="14055"/>
          <w:tab w:val="left" w:pos="14775"/>
          <w:tab w:val="left" w:pos="15495"/>
          <w:tab w:val="left" w:pos="16215"/>
          <w:tab w:val="left" w:pos="16935"/>
          <w:tab w:val="left" w:pos="17655"/>
          <w:tab w:val="left" w:pos="18375"/>
          <w:tab w:val="left" w:pos="19095"/>
          <w:tab w:val="left" w:pos="19815"/>
          <w:tab w:val="left" w:pos="20535"/>
          <w:tab w:val="left" w:pos="21255"/>
          <w:tab w:val="left" w:pos="21975"/>
          <w:tab w:val="left" w:pos="22695"/>
          <w:tab w:val="left" w:pos="23415"/>
          <w:tab w:val="left" w:pos="24135"/>
          <w:tab w:val="left" w:pos="24855"/>
          <w:tab w:val="left" w:pos="25575"/>
          <w:tab w:val="left" w:pos="26295"/>
          <w:tab w:val="left" w:pos="27015"/>
          <w:tab w:val="left" w:pos="27735"/>
          <w:tab w:val="left" w:pos="28455"/>
        </w:tabs>
        <w:spacing w:line="240" w:lineRule="atLeast"/>
        <w:ind w:left="15"/>
        <w:rPr>
          <w:rFonts w:cs="Calibri"/>
          <w:color w:val="FF0000"/>
        </w:rPr>
      </w:pPr>
      <w:r>
        <w:rPr>
          <w:rFonts w:cs="Calibri"/>
          <w:color w:val="FF0000"/>
        </w:rPr>
        <w:t>»Večnamenska pot  bo urejena po funkcionalno zaključenih odsekih glede na</w:t>
      </w:r>
      <w:r w:rsidR="00686A4A">
        <w:rPr>
          <w:rFonts w:cs="Calibri"/>
          <w:color w:val="FF0000"/>
        </w:rPr>
        <w:t xml:space="preserve"> uporabnost odsekov, </w:t>
      </w:r>
      <w:r w:rsidR="00686A4A" w:rsidRPr="000671DB">
        <w:rPr>
          <w:rFonts w:cs="Calibri"/>
          <w:color w:val="FF0000"/>
        </w:rPr>
        <w:t xml:space="preserve">pri čemer mora biti pot v območju križišča Vrtojbenske ceste z državno cesto izvedena v končno in zaključeno stanje. </w:t>
      </w:r>
      <w:r w:rsidRPr="000671DB">
        <w:rPr>
          <w:rFonts w:cs="Calibri"/>
          <w:color w:val="FF0000"/>
        </w:rPr>
        <w:t>«</w:t>
      </w:r>
    </w:p>
    <w:p w:rsidR="00582939" w:rsidRDefault="00374BC9">
      <w:pPr>
        <w:pStyle w:val="Odstavekseznama"/>
        <w:spacing w:after="210" w:line="240" w:lineRule="auto"/>
        <w:ind w:left="15"/>
        <w:jc w:val="center"/>
        <w:rPr>
          <w:rFonts w:eastAsia="Times New Roman" w:cs="Calibri"/>
          <w:b/>
          <w:bCs/>
          <w:color w:val="333333"/>
          <w:lang w:eastAsia="sl-SI"/>
        </w:rPr>
      </w:pPr>
      <w:r>
        <w:rPr>
          <w:rFonts w:eastAsia="Times New Roman" w:cs="Calibri"/>
          <w:b/>
          <w:bCs/>
          <w:color w:val="333333"/>
          <w:lang w:eastAsia="sl-SI"/>
        </w:rPr>
        <w:t>4</w:t>
      </w:r>
      <w:r w:rsidR="00D71869">
        <w:rPr>
          <w:rFonts w:eastAsia="Times New Roman" w:cs="Calibri"/>
          <w:b/>
          <w:bCs/>
          <w:color w:val="333333"/>
          <w:lang w:eastAsia="sl-SI"/>
        </w:rPr>
        <w:t>. člen</w:t>
      </w:r>
    </w:p>
    <w:p w:rsidR="00582939" w:rsidRDefault="00D71869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(velikost dopustnih odstopanj od funkcionalnih, oblikovalskih in tehničnih rešitev)</w:t>
      </w:r>
    </w:p>
    <w:p w:rsidR="00582939" w:rsidRDefault="00D71869">
      <w:pPr>
        <w:pStyle w:val="Standard"/>
        <w:rPr>
          <w:rFonts w:cs="Calibri"/>
        </w:rPr>
      </w:pPr>
      <w:r>
        <w:rPr>
          <w:rFonts w:cs="Calibri"/>
        </w:rPr>
        <w:t>Tretji odstavek odstavka 14. člena Odloka o OPN se spremeni tako, da glasi:</w:t>
      </w:r>
    </w:p>
    <w:p w:rsidR="00582939" w:rsidRDefault="00D71869">
      <w:pPr>
        <w:widowControl/>
        <w:suppressAutoHyphens w:val="0"/>
        <w:spacing w:after="210" w:line="240" w:lineRule="auto"/>
        <w:ind w:firstLine="240"/>
        <w:jc w:val="both"/>
        <w:textAlignment w:val="auto"/>
        <w:rPr>
          <w:rFonts w:eastAsia="Times New Roman" w:cs="Calibri"/>
          <w:color w:val="FF0000"/>
          <w:kern w:val="0"/>
          <w:lang w:eastAsia="sl-SI"/>
        </w:rPr>
      </w:pPr>
      <w:r>
        <w:rPr>
          <w:rFonts w:eastAsia="Times New Roman" w:cs="Calibri"/>
          <w:color w:val="FF0000"/>
          <w:kern w:val="0"/>
          <w:lang w:eastAsia="sl-SI"/>
        </w:rPr>
        <w:t xml:space="preserve">»(3) Infrastruktura in priključki </w:t>
      </w:r>
    </w:p>
    <w:p w:rsidR="00374BC9" w:rsidRPr="000671DB" w:rsidRDefault="00D71869" w:rsidP="00307E2B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="Calibri" w:eastAsia="Times New Roman" w:hAnsi="Calibri" w:cs="Calibri"/>
          <w:color w:val="FF0000"/>
          <w:sz w:val="22"/>
          <w:szCs w:val="22"/>
          <w:lang w:eastAsia="sl-SI"/>
        </w:rPr>
        <w:t xml:space="preserve">pri gradnji cest, cestnih priključkov, kolesarskih površin in površin za pešce so dopustna odstopanja </w:t>
      </w:r>
      <w:r>
        <w:rPr>
          <w:rFonts w:ascii="Calibri" w:hAnsi="Calibri" w:cs="Calibri"/>
          <w:color w:val="FF0000"/>
          <w:sz w:val="22"/>
          <w:szCs w:val="22"/>
        </w:rPr>
        <w:t>od rešitev v OPPN, če so pri nadaljnjem podrobnejšem proučevanju pridobljene rešitve, ki so primernejše s tehničnega, investicijskega ali okoljevarstvenega vidika. Odst</w:t>
      </w:r>
      <w:r>
        <w:rPr>
          <w:rFonts w:ascii="Calibri" w:hAnsi="Calibri" w:cs="Calibri"/>
          <w:color w:val="FF0000"/>
          <w:sz w:val="22"/>
          <w:szCs w:val="22"/>
        </w:rPr>
        <w:t>o</w:t>
      </w:r>
      <w:r>
        <w:rPr>
          <w:rFonts w:ascii="Calibri" w:hAnsi="Calibri" w:cs="Calibri"/>
          <w:color w:val="FF0000"/>
          <w:sz w:val="22"/>
          <w:szCs w:val="22"/>
        </w:rPr>
        <w:t xml:space="preserve">panja so možna tudi zaradi </w:t>
      </w:r>
      <w:r>
        <w:rPr>
          <w:rFonts w:ascii="Calibri" w:eastAsia="Times New Roman" w:hAnsi="Calibri" w:cs="Calibri"/>
          <w:color w:val="FF0000"/>
          <w:sz w:val="22"/>
          <w:szCs w:val="22"/>
          <w:lang w:eastAsia="sl-SI"/>
        </w:rPr>
        <w:t>začasne navezave na infrastrukturo ob Vrtojbenski cesti na seve</w:t>
      </w:r>
      <w:r>
        <w:rPr>
          <w:rFonts w:ascii="Calibri" w:eastAsia="Times New Roman" w:hAnsi="Calibri" w:cs="Calibri"/>
          <w:color w:val="FF0000"/>
          <w:sz w:val="22"/>
          <w:szCs w:val="22"/>
          <w:lang w:eastAsia="sl-SI"/>
        </w:rPr>
        <w:t>r</w:t>
      </w:r>
      <w:r>
        <w:rPr>
          <w:rFonts w:ascii="Calibri" w:eastAsia="Times New Roman" w:hAnsi="Calibri" w:cs="Calibri"/>
          <w:color w:val="FF0000"/>
          <w:sz w:val="22"/>
          <w:szCs w:val="22"/>
          <w:lang w:eastAsia="sl-SI"/>
        </w:rPr>
        <w:t xml:space="preserve">ni strani območja OPPN. </w:t>
      </w:r>
      <w:r>
        <w:rPr>
          <w:rFonts w:ascii="Calibri" w:hAnsi="Calibri" w:cs="Calibri"/>
          <w:color w:val="FF0000"/>
          <w:sz w:val="22"/>
          <w:szCs w:val="22"/>
        </w:rPr>
        <w:t xml:space="preserve">Odstopanja ne smejo vplivati na koto pritličja objekta št. 1.  </w:t>
      </w:r>
      <w:r w:rsidR="00374BC9" w:rsidRPr="000671DB">
        <w:rPr>
          <w:rFonts w:asciiTheme="minorHAnsi" w:hAnsiTheme="minorHAnsi" w:cstheme="minorHAnsi"/>
          <w:color w:val="FF0000"/>
          <w:sz w:val="22"/>
          <w:szCs w:val="22"/>
        </w:rPr>
        <w:t>V prim</w:t>
      </w:r>
      <w:r w:rsidR="00374BC9" w:rsidRPr="000671DB">
        <w:rPr>
          <w:rFonts w:asciiTheme="minorHAnsi" w:hAnsiTheme="minorHAnsi" w:cstheme="minorHAnsi"/>
          <w:color w:val="FF0000"/>
          <w:sz w:val="22"/>
          <w:szCs w:val="22"/>
        </w:rPr>
        <w:t>e</w:t>
      </w:r>
      <w:r w:rsidR="00374BC9" w:rsidRPr="000671DB">
        <w:rPr>
          <w:rFonts w:asciiTheme="minorHAnsi" w:hAnsiTheme="minorHAnsi" w:cstheme="minorHAnsi"/>
          <w:color w:val="FF0000"/>
          <w:sz w:val="22"/>
          <w:szCs w:val="22"/>
        </w:rPr>
        <w:t xml:space="preserve">rih rešitev, ki v celoti ne ustrezajo </w:t>
      </w:r>
      <w:r w:rsidR="00374BC9" w:rsidRPr="000671DB">
        <w:rPr>
          <w:rFonts w:asciiTheme="minorHAnsi" w:hAnsiTheme="minorHAnsi" w:cstheme="minorHAnsi"/>
          <w:color w:val="FF0000"/>
          <w:sz w:val="22"/>
          <w:szCs w:val="22"/>
          <w:lang w:val="x-none"/>
        </w:rPr>
        <w:t xml:space="preserve">prometnemu pomenu </w:t>
      </w:r>
      <w:r w:rsidR="00374BC9" w:rsidRPr="000671DB">
        <w:rPr>
          <w:rFonts w:asciiTheme="minorHAnsi" w:hAnsiTheme="minorHAnsi" w:cstheme="minorHAnsi"/>
          <w:color w:val="FF0000"/>
          <w:sz w:val="22"/>
          <w:szCs w:val="22"/>
        </w:rPr>
        <w:t xml:space="preserve">infrastrukture </w:t>
      </w:r>
      <w:r w:rsidR="00374BC9" w:rsidRPr="000671DB">
        <w:rPr>
          <w:rFonts w:asciiTheme="minorHAnsi" w:hAnsiTheme="minorHAnsi" w:cstheme="minorHAnsi"/>
          <w:color w:val="FF0000"/>
          <w:sz w:val="22"/>
          <w:szCs w:val="22"/>
          <w:lang w:val="x-none"/>
        </w:rPr>
        <w:t>in vrstam prometa, ki jim je namenjena</w:t>
      </w:r>
      <w:r w:rsidR="00374BC9" w:rsidRPr="000671DB">
        <w:rPr>
          <w:rFonts w:asciiTheme="minorHAnsi" w:hAnsiTheme="minorHAnsi" w:cstheme="minorHAnsi"/>
          <w:color w:val="FF0000"/>
          <w:sz w:val="22"/>
          <w:szCs w:val="22"/>
        </w:rPr>
        <w:t xml:space="preserve">, je v postopkih projektiranja in gradnje v območju državne ceste R3-614 ter bodočega krožnega križišča potrebno upoštevati določila 6. točke 9. člena Zakona o cestah (ZCes-1, Ur. l. RS št. 109/10, 48/12, 36/14 - odl. US) in v skladu z določili </w:t>
      </w:r>
      <w:r w:rsidR="000671DB" w:rsidRPr="000671DB">
        <w:rPr>
          <w:rFonts w:asciiTheme="minorHAnsi" w:hAnsiTheme="minorHAnsi" w:cstheme="minorHAnsi"/>
          <w:color w:val="FF0000"/>
          <w:sz w:val="22"/>
          <w:szCs w:val="22"/>
        </w:rPr>
        <w:t xml:space="preserve">navedene točke </w:t>
      </w:r>
      <w:r w:rsidR="00374BC9" w:rsidRPr="000671DB">
        <w:rPr>
          <w:rFonts w:asciiTheme="minorHAnsi" w:hAnsiTheme="minorHAnsi" w:cstheme="minorHAnsi"/>
          <w:color w:val="FF0000"/>
          <w:sz w:val="22"/>
          <w:szCs w:val="22"/>
        </w:rPr>
        <w:t>izd</w:t>
      </w:r>
      <w:r w:rsidR="00374BC9" w:rsidRPr="000671DB">
        <w:rPr>
          <w:rFonts w:asciiTheme="minorHAnsi" w:hAnsiTheme="minorHAnsi" w:cstheme="minorHAnsi"/>
          <w:color w:val="FF0000"/>
          <w:sz w:val="22"/>
          <w:szCs w:val="22"/>
        </w:rPr>
        <w:t>e</w:t>
      </w:r>
      <w:r w:rsidR="00374BC9" w:rsidRPr="000671DB">
        <w:rPr>
          <w:rFonts w:asciiTheme="minorHAnsi" w:hAnsiTheme="minorHAnsi" w:cstheme="minorHAnsi"/>
          <w:color w:val="FF0000"/>
          <w:sz w:val="22"/>
          <w:szCs w:val="22"/>
        </w:rPr>
        <w:t>lati strokovne podlage ter na predlagane rešitve pridobiti ustrezno odobritev.</w:t>
      </w:r>
    </w:p>
    <w:p w:rsidR="00582939" w:rsidRDefault="00D71869" w:rsidP="00307E2B">
      <w:pPr>
        <w:pStyle w:val="Default"/>
        <w:numPr>
          <w:ilvl w:val="0"/>
          <w:numId w:val="4"/>
        </w:numPr>
      </w:pPr>
      <w:r>
        <w:rPr>
          <w:rFonts w:ascii="Calibri" w:eastAsia="Times New Roman" w:hAnsi="Calibri" w:cs="Calibri"/>
          <w:color w:val="FF0000"/>
          <w:sz w:val="22"/>
          <w:szCs w:val="22"/>
          <w:lang w:eastAsia="sl-SI"/>
        </w:rPr>
        <w:t>ostali infrastrukturni priključki in naprave lahko odstopajo od rešitev v OPPN, v kolikor</w:t>
      </w:r>
      <w:r>
        <w:rPr>
          <w:rFonts w:ascii="Calibri" w:hAnsi="Calibri" w:cs="Calibri"/>
          <w:color w:val="FF0000"/>
          <w:sz w:val="22"/>
          <w:szCs w:val="22"/>
        </w:rPr>
        <w:t xml:space="preserve"> se pri nadaljnjem podrobnejšem proučevanju pridobijo rešitve,  primernejše s tehničnega, invest</w:t>
      </w:r>
      <w:r>
        <w:rPr>
          <w:rFonts w:ascii="Calibri" w:hAnsi="Calibri" w:cs="Calibri"/>
          <w:color w:val="FF0000"/>
          <w:sz w:val="22"/>
          <w:szCs w:val="22"/>
        </w:rPr>
        <w:t>i</w:t>
      </w:r>
      <w:r>
        <w:rPr>
          <w:rFonts w:ascii="Calibri" w:hAnsi="Calibri" w:cs="Calibri"/>
          <w:color w:val="FF0000"/>
          <w:sz w:val="22"/>
          <w:szCs w:val="22"/>
        </w:rPr>
        <w:t>cijskega ali okoljevarstvenega vidika.</w:t>
      </w:r>
    </w:p>
    <w:p w:rsidR="00582939" w:rsidRDefault="00D71869" w:rsidP="00307E2B">
      <w:pPr>
        <w:pStyle w:val="Default"/>
        <w:numPr>
          <w:ilvl w:val="0"/>
          <w:numId w:val="4"/>
        </w:numPr>
      </w:pPr>
      <w:r>
        <w:rPr>
          <w:rFonts w:ascii="Calibri" w:eastAsia="Times New Roman" w:hAnsi="Calibri" w:cs="Calibri"/>
          <w:color w:val="FF0000"/>
          <w:sz w:val="22"/>
          <w:szCs w:val="22"/>
          <w:lang w:eastAsia="sl-SI"/>
        </w:rPr>
        <w:t>plinovodno omrežje lahko odstopa od predvidenih rešitev tudi v primeru nezmožnosti prid</w:t>
      </w:r>
      <w:r>
        <w:rPr>
          <w:rFonts w:ascii="Calibri" w:eastAsia="Times New Roman" w:hAnsi="Calibri" w:cs="Calibri"/>
          <w:color w:val="FF0000"/>
          <w:sz w:val="22"/>
          <w:szCs w:val="22"/>
          <w:lang w:eastAsia="sl-SI"/>
        </w:rPr>
        <w:t>o</w:t>
      </w:r>
      <w:r>
        <w:rPr>
          <w:rFonts w:ascii="Calibri" w:eastAsia="Times New Roman" w:hAnsi="Calibri" w:cs="Calibri"/>
          <w:color w:val="FF0000"/>
          <w:sz w:val="22"/>
          <w:szCs w:val="22"/>
          <w:lang w:eastAsia="sl-SI"/>
        </w:rPr>
        <w:t xml:space="preserve">bitve pravice graditi. </w:t>
      </w:r>
    </w:p>
    <w:p w:rsidR="00582939" w:rsidRDefault="00D71869" w:rsidP="00307E2B">
      <w:pPr>
        <w:pStyle w:val="Default"/>
        <w:numPr>
          <w:ilvl w:val="0"/>
          <w:numId w:val="4"/>
        </w:numPr>
      </w:pPr>
      <w:r>
        <w:rPr>
          <w:rFonts w:ascii="Calibri" w:hAnsi="Calibri" w:cs="Calibri"/>
          <w:color w:val="FF0000"/>
          <w:sz w:val="22"/>
          <w:szCs w:val="22"/>
        </w:rPr>
        <w:t>nobeno od navedenih odstopanj ne sme onemogočati gradnje v OPPN predvidenih stavb, ne sme  poslabšati prostorskih in okoljskih razmer, ne sme biti v nasprotju z javnimi interesi,  z vsemi odstopanji morajo soglašati upravljavci posamezne infrastrukture,  varovalnih pasov in varovanih območij, ki jih odstopanja zadevajo.«</w:t>
      </w:r>
    </w:p>
    <w:p w:rsidR="00582939" w:rsidRDefault="00582939" w:rsidP="00307E2B">
      <w:pPr>
        <w:pStyle w:val="Odstavekseznama"/>
        <w:spacing w:after="210" w:line="240" w:lineRule="auto"/>
        <w:ind w:left="15"/>
        <w:jc w:val="center"/>
        <w:rPr>
          <w:rFonts w:eastAsia="Times New Roman" w:cs="Calibri"/>
          <w:b/>
          <w:bCs/>
          <w:color w:val="333333"/>
          <w:lang w:eastAsia="sl-SI"/>
        </w:rPr>
      </w:pPr>
    </w:p>
    <w:p w:rsidR="00582939" w:rsidRDefault="00D71869" w:rsidP="00307E2B">
      <w:pPr>
        <w:pStyle w:val="Odstavekseznama"/>
        <w:ind w:left="15"/>
        <w:jc w:val="center"/>
        <w:rPr>
          <w:rFonts w:cs="Calibri"/>
          <w:b/>
        </w:rPr>
      </w:pPr>
      <w:r>
        <w:rPr>
          <w:rFonts w:cs="Calibri"/>
          <w:b/>
        </w:rPr>
        <w:t>III. PREHODNE IN KONČNE DOLOČBE</w:t>
      </w:r>
    </w:p>
    <w:p w:rsidR="00582939" w:rsidRDefault="00374BC9">
      <w:pPr>
        <w:pStyle w:val="Standard"/>
        <w:ind w:firstLine="15"/>
        <w:jc w:val="center"/>
        <w:rPr>
          <w:rFonts w:cs="Calibri"/>
          <w:b/>
        </w:rPr>
      </w:pPr>
      <w:r>
        <w:rPr>
          <w:rFonts w:cs="Calibri"/>
          <w:b/>
        </w:rPr>
        <w:t>5</w:t>
      </w:r>
      <w:r w:rsidR="00D71869">
        <w:rPr>
          <w:rFonts w:cs="Calibri"/>
          <w:b/>
        </w:rPr>
        <w:t>. člen</w:t>
      </w:r>
    </w:p>
    <w:p w:rsidR="00582939" w:rsidRDefault="00D71869">
      <w:pPr>
        <w:pStyle w:val="PORAVNAVALSRED"/>
        <w:tabs>
          <w:tab w:val="clear" w:pos="432"/>
        </w:tabs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(gradbena dovoljenja v postopku pridobivanja)</w:t>
      </w:r>
    </w:p>
    <w:p w:rsidR="00582939" w:rsidRDefault="00D71869">
      <w:pPr>
        <w:pStyle w:val="NASLOVODSTAVKA"/>
        <w:ind w:left="15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Postopki za pridobitev gradbenega dovoljenja, začeti pred uveljavitvijo tega odloka, se nadaljujejo in končajo na podlagi predpisov, veljavnih na dan vložitve vloge za izdajo gradbenega dovoljenja. </w:t>
      </w:r>
    </w:p>
    <w:p w:rsidR="00582939" w:rsidRDefault="00374BC9">
      <w:pPr>
        <w:pStyle w:val="Standard"/>
        <w:ind w:left="15"/>
        <w:jc w:val="center"/>
        <w:rPr>
          <w:rFonts w:cs="Calibri"/>
          <w:b/>
        </w:rPr>
      </w:pPr>
      <w:r>
        <w:rPr>
          <w:rFonts w:cs="Calibri"/>
          <w:b/>
        </w:rPr>
        <w:t>6</w:t>
      </w:r>
      <w:r w:rsidR="00D71869">
        <w:rPr>
          <w:rFonts w:cs="Calibri"/>
          <w:b/>
        </w:rPr>
        <w:t>. člen</w:t>
      </w:r>
    </w:p>
    <w:p w:rsidR="00582939" w:rsidRDefault="00D71869">
      <w:pPr>
        <w:pStyle w:val="PORAVNAVALSRED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(začetek veljavnosti)</w:t>
      </w:r>
    </w:p>
    <w:p w:rsidR="00582939" w:rsidRDefault="00D71869">
      <w:pPr>
        <w:pStyle w:val="NASLOVODSTAVKA"/>
        <w:ind w:left="15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Ta odlok začne veljati petnajsti dan po objavi v Uradnem listi RS.</w:t>
      </w:r>
    </w:p>
    <w:p w:rsidR="00582939" w:rsidRDefault="00582939">
      <w:pPr>
        <w:pStyle w:val="Standard"/>
        <w:rPr>
          <w:rFonts w:cs="Calibri"/>
        </w:rPr>
      </w:pPr>
    </w:p>
    <w:p w:rsidR="00582939" w:rsidRDefault="00582939">
      <w:pPr>
        <w:pStyle w:val="Standard"/>
        <w:rPr>
          <w:rFonts w:cs="Calibri"/>
        </w:rPr>
      </w:pPr>
    </w:p>
    <w:p w:rsidR="00582939" w:rsidRDefault="00582939">
      <w:pPr>
        <w:pStyle w:val="Standard"/>
        <w:rPr>
          <w:rFonts w:cs="Calibri"/>
        </w:rPr>
      </w:pPr>
    </w:p>
    <w:p w:rsidR="00582939" w:rsidRDefault="00D71869">
      <w:pPr>
        <w:pStyle w:val="Standard"/>
        <w:rPr>
          <w:rFonts w:cs="Calibri"/>
        </w:rPr>
      </w:pPr>
      <w:r>
        <w:rPr>
          <w:rFonts w:cs="Calibri"/>
        </w:rPr>
        <w:t>Številka:</w:t>
      </w:r>
    </w:p>
    <w:p w:rsidR="00582939" w:rsidRDefault="00D71869">
      <w:pPr>
        <w:pStyle w:val="Standard"/>
        <w:rPr>
          <w:rFonts w:cs="Calibri"/>
        </w:rPr>
      </w:pPr>
      <w:r>
        <w:rPr>
          <w:rFonts w:cs="Calibri"/>
        </w:rPr>
        <w:t>Šempeter pri Gorici, dne …...2015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       Župan</w:t>
      </w:r>
    </w:p>
    <w:p w:rsidR="00582939" w:rsidRDefault="00D71869">
      <w:pPr>
        <w:pStyle w:val="Standard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Občine Šempeter – Vrtojba</w:t>
      </w:r>
    </w:p>
    <w:p w:rsidR="00582939" w:rsidRDefault="00D71869">
      <w:pPr>
        <w:pStyle w:val="Standard"/>
        <w:ind w:firstLine="6465"/>
        <w:rPr>
          <w:rFonts w:cs="Calibri"/>
        </w:rPr>
      </w:pPr>
      <w:r>
        <w:rPr>
          <w:rFonts w:cs="Calibri"/>
        </w:rPr>
        <w:t xml:space="preserve">        mag. Milan Turk</w:t>
      </w:r>
    </w:p>
    <w:p w:rsidR="00582939" w:rsidRDefault="00D71869">
      <w:pPr>
        <w:pStyle w:val="Standard"/>
        <w:rPr>
          <w:rFonts w:cs="Calibri"/>
          <w:b/>
        </w:rPr>
      </w:pPr>
      <w:r>
        <w:rPr>
          <w:rFonts w:cs="Calibri"/>
          <w:b/>
        </w:rPr>
        <w:t>Obrazložitev</w:t>
      </w:r>
    </w:p>
    <w:p w:rsidR="00582939" w:rsidRDefault="00D71869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Razlog za spreminjanje OPPN je omogočanje bolj racionalne rešitve prometnih površin: zmanjšanje dimenzij in premik voznih pasov, kolesarskega pasu in hodnika za pešce in posledično preprostejše izvedbe javnih prometnih površin zaradi manjših posegov na zemljišča v  privatni lasti. </w:t>
      </w:r>
    </w:p>
    <w:p w:rsidR="00582939" w:rsidRDefault="00D71869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 spremembami in dopolnitvami se bolj natančno definira tudi etapnost izvedbe večnamenske poti, zaključni del poti namreč pred pridobitvijo zemljišč za njeno logično nadaljevanje nima uporabne vrednosti.</w:t>
      </w:r>
    </w:p>
    <w:p w:rsidR="000671DB" w:rsidRDefault="000671DB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Dopolnjeni osnutek odloka o OPPN upošteva smernice, ki jih je na osnutek sprememb in dopolnitev odloka o OPPN podala Direkcija RS za ceste.</w:t>
      </w:r>
      <w:bookmarkStart w:id="0" w:name="_GoBack"/>
      <w:bookmarkEnd w:id="0"/>
    </w:p>
    <w:p w:rsidR="00582939" w:rsidRDefault="00582939">
      <w:pPr>
        <w:spacing w:after="0" w:line="240" w:lineRule="auto"/>
        <w:ind w:left="708"/>
        <w:rPr>
          <w:rFonts w:cs="Calibri"/>
          <w:sz w:val="24"/>
          <w:szCs w:val="24"/>
        </w:rPr>
      </w:pPr>
    </w:p>
    <w:p w:rsidR="00582939" w:rsidRDefault="00D71869">
      <w:pPr>
        <w:spacing w:after="0" w:line="240" w:lineRule="auto"/>
      </w:pPr>
      <w:r>
        <w:rPr>
          <w:rFonts w:cs="Calibri"/>
          <w:sz w:val="24"/>
          <w:szCs w:val="24"/>
        </w:rPr>
        <w:t xml:space="preserve">Spremenjen in dodan tekst je v </w:t>
      </w:r>
      <w:r w:rsidR="000671DB">
        <w:rPr>
          <w:rFonts w:cs="Calibri"/>
          <w:sz w:val="24"/>
          <w:szCs w:val="24"/>
        </w:rPr>
        <w:t xml:space="preserve">dopolnjenem </w:t>
      </w:r>
      <w:r>
        <w:rPr>
          <w:rFonts w:cs="Calibri"/>
          <w:sz w:val="24"/>
          <w:szCs w:val="24"/>
        </w:rPr>
        <w:t xml:space="preserve">osnutku izpisan z </w:t>
      </w:r>
      <w:r>
        <w:rPr>
          <w:rFonts w:cs="Calibri"/>
          <w:color w:val="FF0000"/>
          <w:sz w:val="24"/>
          <w:szCs w:val="24"/>
        </w:rPr>
        <w:t>rdečo barvo</w:t>
      </w:r>
      <w:r>
        <w:rPr>
          <w:rFonts w:cs="Calibri"/>
          <w:sz w:val="24"/>
          <w:szCs w:val="24"/>
        </w:rPr>
        <w:t>.</w:t>
      </w:r>
    </w:p>
    <w:p w:rsidR="00582939" w:rsidRDefault="00582939">
      <w:pPr>
        <w:pStyle w:val="Standard"/>
        <w:rPr>
          <w:rFonts w:cs="Calibri"/>
        </w:rPr>
      </w:pPr>
    </w:p>
    <w:p w:rsidR="00582939" w:rsidRDefault="00D71869">
      <w:pPr>
        <w:pStyle w:val="Standard"/>
        <w:rPr>
          <w:rFonts w:cs="Calibri"/>
        </w:rPr>
      </w:pPr>
      <w:r>
        <w:rPr>
          <w:rFonts w:cs="Calibri"/>
        </w:rPr>
        <w:t>Spremembe v 13. členu:</w:t>
      </w:r>
    </w:p>
    <w:p w:rsidR="00582939" w:rsidRDefault="00D71869">
      <w:pPr>
        <w:pStyle w:val="Standard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opredeli se izvedbe večnamenske poti po smiselnih etapah</w:t>
      </w:r>
    </w:p>
    <w:p w:rsidR="00582939" w:rsidRDefault="00D71869">
      <w:pPr>
        <w:pStyle w:val="Standard"/>
        <w:rPr>
          <w:rFonts w:cs="Calibri"/>
        </w:rPr>
      </w:pPr>
      <w:r>
        <w:rPr>
          <w:rFonts w:cs="Calibri"/>
        </w:rPr>
        <w:t>Spremembe v 14. členu:</w:t>
      </w:r>
    </w:p>
    <w:p w:rsidR="00582939" w:rsidRDefault="00D71869">
      <w:pPr>
        <w:pStyle w:val="Standard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normativno določena dopustna odstopanja za gradnjo prometne infrastrukturo se nadomesti z opisnimi pogoji za dopustnost odstopanj</w:t>
      </w:r>
    </w:p>
    <w:p w:rsidR="00374BC9" w:rsidRDefault="00374BC9" w:rsidP="00374BC9">
      <w:pPr>
        <w:pStyle w:val="Standard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 xml:space="preserve">doda se zahteva za izdelavo zakonsko zahtevanih strokovnih podlag in pridobitve ustrezne potrditve v primerih, ko se prometna infrastruktura zaradi različnih okoliščin ne more projektirati in graditi tako, kot je predvideno  v zakonodaji </w:t>
      </w:r>
    </w:p>
    <w:p w:rsidR="00582939" w:rsidRDefault="00582939">
      <w:pPr>
        <w:pStyle w:val="Standard"/>
        <w:rPr>
          <w:rFonts w:cs="Calibri"/>
        </w:rPr>
      </w:pPr>
    </w:p>
    <w:sectPr w:rsidR="00582939">
      <w:footerReference w:type="default" r:id="rId8"/>
      <w:pgSz w:w="11905" w:h="16837"/>
      <w:pgMar w:top="1417" w:right="1417" w:bottom="11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B22" w:rsidRDefault="00046B22">
      <w:pPr>
        <w:spacing w:after="0" w:line="240" w:lineRule="auto"/>
      </w:pPr>
      <w:r>
        <w:separator/>
      </w:r>
    </w:p>
  </w:endnote>
  <w:endnote w:type="continuationSeparator" w:id="0">
    <w:p w:rsidR="00046B22" w:rsidRDefault="0004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BD" w:rsidRDefault="00D71869">
    <w:pPr>
      <w:pStyle w:val="Noga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046B2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B22" w:rsidRDefault="00046B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46B22" w:rsidRDefault="00046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85818"/>
    <w:multiLevelType w:val="multilevel"/>
    <w:tmpl w:val="B4FA868E"/>
    <w:styleLink w:val="WW8Num3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numFmt w:val="bullet"/>
      <w:lvlText w:val=""/>
      <w:lvlJc w:val="left"/>
      <w:rPr>
        <w:rFonts w:ascii="Symbol" w:eastAsia="Times New Roman" w:hAnsi="Symbol" w:cs="Times New Roman"/>
      </w:rPr>
    </w:lvl>
    <w:lvl w:ilvl="2">
      <w:numFmt w:val="bullet"/>
      <w:lvlText w:val=""/>
      <w:lvlJc w:val="left"/>
      <w:rPr>
        <w:rFonts w:ascii="Symbol" w:eastAsia="Times New Roman" w:hAnsi="Symbol" w:cs="Times New Roman"/>
      </w:rPr>
    </w:lvl>
    <w:lvl w:ilvl="3">
      <w:numFmt w:val="bullet"/>
      <w:lvlText w:val=""/>
      <w:lvlJc w:val="left"/>
      <w:rPr>
        <w:rFonts w:ascii="Symbol" w:eastAsia="Times New Roman" w:hAnsi="Symbol" w:cs="Times New Roman"/>
      </w:rPr>
    </w:lvl>
    <w:lvl w:ilvl="4">
      <w:numFmt w:val="bullet"/>
      <w:lvlText w:val=""/>
      <w:lvlJc w:val="left"/>
      <w:rPr>
        <w:rFonts w:ascii="Symbol" w:eastAsia="Times New Roman" w:hAnsi="Symbol" w:cs="Times New Roman"/>
      </w:rPr>
    </w:lvl>
    <w:lvl w:ilvl="5">
      <w:numFmt w:val="bullet"/>
      <w:lvlText w:val=""/>
      <w:lvlJc w:val="left"/>
      <w:rPr>
        <w:rFonts w:ascii="Symbol" w:eastAsia="Times New Roman" w:hAnsi="Symbol" w:cs="Times New Roman"/>
      </w:rPr>
    </w:lvl>
    <w:lvl w:ilvl="6">
      <w:numFmt w:val="bullet"/>
      <w:lvlText w:val=""/>
      <w:lvlJc w:val="left"/>
      <w:rPr>
        <w:rFonts w:ascii="Symbol" w:eastAsia="Times New Roman" w:hAnsi="Symbol" w:cs="Times New Roman"/>
      </w:rPr>
    </w:lvl>
    <w:lvl w:ilvl="7">
      <w:numFmt w:val="bullet"/>
      <w:lvlText w:val=""/>
      <w:lvlJc w:val="left"/>
      <w:rPr>
        <w:rFonts w:ascii="Symbol" w:eastAsia="Times New Roman" w:hAnsi="Symbol" w:cs="Times New Roman"/>
      </w:rPr>
    </w:lvl>
    <w:lvl w:ilvl="8">
      <w:numFmt w:val="bullet"/>
      <w:lvlText w:val=""/>
      <w:lvlJc w:val="left"/>
      <w:rPr>
        <w:rFonts w:ascii="Symbol" w:eastAsia="Times New Roman" w:hAnsi="Symbol" w:cs="Times New Roman"/>
      </w:rPr>
    </w:lvl>
  </w:abstractNum>
  <w:abstractNum w:abstractNumId="1">
    <w:nsid w:val="21B43F40"/>
    <w:multiLevelType w:val="multilevel"/>
    <w:tmpl w:val="9B348FD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color w:val="333333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E9A5EE7"/>
    <w:multiLevelType w:val="multilevel"/>
    <w:tmpl w:val="2C94AE34"/>
    <w:styleLink w:val="WW8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3">
    <w:nsid w:val="7D6D187C"/>
    <w:multiLevelType w:val="multilevel"/>
    <w:tmpl w:val="26B444F8"/>
    <w:styleLink w:val="WW8Num2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2939"/>
    <w:rsid w:val="00046B22"/>
    <w:rsid w:val="000671DB"/>
    <w:rsid w:val="001D62F1"/>
    <w:rsid w:val="00307E2B"/>
    <w:rsid w:val="00362EF9"/>
    <w:rsid w:val="00374BC9"/>
    <w:rsid w:val="00582939"/>
    <w:rsid w:val="00645201"/>
    <w:rsid w:val="00686A4A"/>
    <w:rsid w:val="006A7610"/>
    <w:rsid w:val="007F3AB8"/>
    <w:rsid w:val="008104EA"/>
    <w:rsid w:val="00850AFF"/>
    <w:rsid w:val="00C911BF"/>
    <w:rsid w:val="00C97C82"/>
    <w:rsid w:val="00D71869"/>
    <w:rsid w:val="00E4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Tahoma"/>
        <w:kern w:val="3"/>
        <w:sz w:val="22"/>
        <w:szCs w:val="22"/>
        <w:lang w:val="sl-SI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suppressAutoHyphens/>
    </w:pPr>
  </w:style>
  <w:style w:type="paragraph" w:styleId="Naslov1">
    <w:name w:val="heading 1"/>
    <w:basedOn w:val="Standard"/>
    <w:next w:val="Standard"/>
    <w:pPr>
      <w:keepNext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slov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pPr>
      <w:jc w:val="center"/>
    </w:pPr>
    <w:rPr>
      <w:i/>
      <w:iCs/>
    </w:r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Odstavekseznama">
    <w:name w:val="List Paragraph"/>
    <w:pPr>
      <w:suppressAutoHyphens/>
      <w:ind w:left="720"/>
    </w:pPr>
    <w:rPr>
      <w:rFonts w:eastAsia="Calibri" w:cs="Times New Roman"/>
    </w:rPr>
  </w:style>
  <w:style w:type="paragraph" w:styleId="Navadensplet">
    <w:name w:val="Normal (Web)"/>
    <w:pPr>
      <w:suppressAutoHyphens/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customStyle="1" w:styleId="esegmenth4">
    <w:name w:val="esegment_h4"/>
    <w:pPr>
      <w:suppressAutoHyphens/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paragraph" w:customStyle="1" w:styleId="NASLOVODSTAVKA">
    <w:name w:val="NASLOV_ODSTAVKA"/>
    <w:pPr>
      <w:suppressAutoHyphens/>
      <w:spacing w:before="120" w:after="120" w:line="300" w:lineRule="auto"/>
      <w:jc w:val="both"/>
    </w:pPr>
    <w:rPr>
      <w:rFonts w:ascii="Arial" w:eastAsia="Times New Roman" w:hAnsi="Arial"/>
      <w:sz w:val="20"/>
      <w:lang w:eastAsia="sl-SI"/>
    </w:rPr>
  </w:style>
  <w:style w:type="paragraph" w:customStyle="1" w:styleId="lentevilenje">
    <w:name w:val="člen_številčenje"/>
    <w:pPr>
      <w:suppressAutoHyphens/>
      <w:spacing w:before="360" w:after="120" w:line="300" w:lineRule="auto"/>
      <w:ind w:left="5039"/>
      <w:jc w:val="center"/>
    </w:pPr>
    <w:rPr>
      <w:rFonts w:ascii="Arial" w:eastAsia="Times New Roman" w:hAnsi="Arial" w:cs="Times New Roman"/>
      <w:sz w:val="20"/>
      <w:lang w:eastAsia="sl-SI"/>
    </w:rPr>
  </w:style>
  <w:style w:type="paragraph" w:customStyle="1" w:styleId="PORAVNAVALSRED">
    <w:name w:val="PORAVNAVA_ČL_SRED"/>
    <w:pPr>
      <w:tabs>
        <w:tab w:val="center" w:pos="432"/>
      </w:tabs>
      <w:suppressAutoHyphens/>
      <w:spacing w:after="120" w:line="300" w:lineRule="auto"/>
      <w:jc w:val="center"/>
    </w:pPr>
    <w:rPr>
      <w:rFonts w:ascii="Arial" w:eastAsia="Times New Roman" w:hAnsi="Arial" w:cs="Times New Roman"/>
      <w:sz w:val="20"/>
      <w:lang w:eastAsia="sl-SI"/>
    </w:rPr>
  </w:style>
  <w:style w:type="paragraph" w:customStyle="1" w:styleId="TEVILKALENA">
    <w:name w:val="ŠTEVILKA_ČLENA"/>
    <w:pPr>
      <w:suppressAutoHyphens/>
    </w:pPr>
  </w:style>
  <w:style w:type="paragraph" w:customStyle="1" w:styleId="tabelalevo">
    <w:name w:val="tabelalevo"/>
    <w:pPr>
      <w:suppressAutoHyphens/>
      <w:spacing w:before="40" w:after="0" w:line="240" w:lineRule="auto"/>
    </w:pPr>
    <w:rPr>
      <w:rFonts w:ascii="Arial" w:eastAsia="Times New Roman" w:hAnsi="Arial" w:cs="Times New Roman"/>
      <w:sz w:val="16"/>
      <w:szCs w:val="20"/>
      <w:lang w:eastAsia="sl-SI"/>
    </w:rPr>
  </w:style>
  <w:style w:type="paragraph" w:customStyle="1" w:styleId="p">
    <w:name w:val="p"/>
    <w:basedOn w:val="Standard"/>
    <w:pPr>
      <w:spacing w:before="280" w:after="280"/>
    </w:pPr>
  </w:style>
  <w:style w:type="paragraph" w:customStyle="1" w:styleId="tehninoporoilo">
    <w:name w:val="tehnično poročilo"/>
    <w:basedOn w:val="Standard"/>
    <w:pPr>
      <w:jc w:val="both"/>
    </w:pPr>
    <w:rPr>
      <w:rFonts w:ascii="Arial" w:hAnsi="Arial" w:cs="Arial"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oga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ASLOVODSTAVKAChar">
    <w:name w:val="NASLOV_ODSTAVKA Char"/>
    <w:rPr>
      <w:rFonts w:ascii="Arial" w:eastAsia="Times New Roman" w:hAnsi="Arial" w:cs="Times New Roman"/>
      <w:sz w:val="20"/>
      <w:lang w:eastAsia="sl-SI"/>
    </w:rPr>
  </w:style>
  <w:style w:type="character" w:customStyle="1" w:styleId="PORAVNAVALSREDChar">
    <w:name w:val="PORAVNAVA_ČL_SRED Char"/>
    <w:rPr>
      <w:rFonts w:ascii="Arial" w:eastAsia="Times New Roman" w:hAnsi="Arial" w:cs="Times New Roman"/>
      <w:sz w:val="20"/>
      <w:lang w:eastAsia="sl-SI"/>
    </w:rPr>
  </w:style>
  <w:style w:type="character" w:customStyle="1" w:styleId="lentevilenjeChar">
    <w:name w:val="člen_številčenje Char"/>
    <w:rPr>
      <w:rFonts w:ascii="Arial" w:eastAsia="Times New Roman" w:hAnsi="Arial" w:cs="Times New Roman"/>
      <w:sz w:val="20"/>
      <w:lang w:eastAsia="sl-SI"/>
    </w:rPr>
  </w:style>
  <w:style w:type="character" w:customStyle="1" w:styleId="TEVILKALENAChar">
    <w:name w:val="ŠTEVILKA_ČLENA Char"/>
    <w:rPr>
      <w:rFonts w:ascii="Arial" w:eastAsia="Times New Roman" w:hAnsi="Arial" w:cs="Times New Roman"/>
      <w:sz w:val="20"/>
      <w:lang w:eastAsia="sl-SI"/>
    </w:rPr>
  </w:style>
  <w:style w:type="character" w:customStyle="1" w:styleId="tabelalevoZnak">
    <w:name w:val="tabelalevo Znak"/>
    <w:rPr>
      <w:rFonts w:ascii="Arial" w:eastAsia="Times New Roman" w:hAnsi="Arial" w:cs="Times New Roman"/>
      <w:sz w:val="16"/>
      <w:szCs w:val="20"/>
      <w:lang w:eastAsia="sl-SI"/>
    </w:rPr>
  </w:style>
  <w:style w:type="character" w:customStyle="1" w:styleId="ListLabel1">
    <w:name w:val="ListLabel 1"/>
    <w:rPr>
      <w:rFonts w:cs="Calibri"/>
      <w:b/>
    </w:rPr>
  </w:style>
  <w:style w:type="character" w:customStyle="1" w:styleId="ListLabel2">
    <w:name w:val="ListLabel 2"/>
    <w:rPr>
      <w:rFonts w:eastAsia="Times New Roman" w:cs="Calibri"/>
      <w:b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  <w:b/>
      <w:bCs/>
      <w:i/>
      <w:iCs/>
      <w:smallCaps/>
      <w:dstrike/>
      <w:vanish/>
      <w:color w:val="000000"/>
      <w:spacing w:val="0"/>
      <w:kern w:val="3"/>
      <w:position w:val="0"/>
      <w:sz w:val="20"/>
      <w:szCs w:val="20"/>
      <w:u w:val="none"/>
      <w:vertAlign w:val="baseline"/>
      <w:em w:val="none"/>
    </w:rPr>
  </w:style>
  <w:style w:type="character" w:customStyle="1" w:styleId="ListLabel5">
    <w:name w:val="ListLabel 5"/>
    <w:rPr>
      <w:rFonts w:eastAsia="Times New Roman" w:cs="Arial"/>
      <w:color w:val="00000A"/>
    </w:rPr>
  </w:style>
  <w:style w:type="character" w:customStyle="1" w:styleId="ListLabel6">
    <w:name w:val="ListLabel 6"/>
    <w:rPr>
      <w:rFonts w:cs="Times New Roman"/>
      <w:b/>
      <w:bCs/>
      <w:i/>
      <w:iCs/>
      <w:smallCaps/>
      <w:dstrike/>
      <w:vanish/>
      <w:color w:val="000000"/>
      <w:spacing w:val="0"/>
      <w:kern w:val="3"/>
      <w:position w:val="0"/>
      <w:u w:val="none"/>
      <w:vertAlign w:val="baseline"/>
      <w:em w:val="non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Besedilooblaka">
    <w:name w:val="Balloon Text"/>
    <w:basedOn w:val="Navaden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basedOn w:val="Privzetapisavaodstavka"/>
    <w:rPr>
      <w:rFonts w:ascii="Tahoma" w:hAnsi="Tahoma"/>
      <w:sz w:val="16"/>
      <w:szCs w:val="16"/>
    </w:rPr>
  </w:style>
  <w:style w:type="paragraph" w:customStyle="1" w:styleId="esegmenth4l">
    <w:name w:val="esegment_h4l"/>
    <w:basedOn w:val="Navaden"/>
    <w:pPr>
      <w:widowControl/>
      <w:suppressAutoHyphens w:val="0"/>
      <w:spacing w:after="210" w:line="240" w:lineRule="auto"/>
      <w:textAlignment w:val="auto"/>
    </w:pPr>
    <w:rPr>
      <w:rFonts w:ascii="Times New Roman" w:eastAsia="Times New Roman" w:hAnsi="Times New Roman" w:cs="Times New Roman"/>
      <w:b/>
      <w:bCs/>
      <w:color w:val="333333"/>
      <w:kern w:val="0"/>
      <w:sz w:val="18"/>
      <w:szCs w:val="18"/>
      <w:lang w:eastAsia="sl-SI"/>
    </w:rPr>
  </w:style>
  <w:style w:type="paragraph" w:customStyle="1" w:styleId="Default">
    <w:name w:val="Default"/>
    <w:pPr>
      <w:widowControl/>
      <w:autoSpaceDE w:val="0"/>
      <w:spacing w:after="0" w:line="240" w:lineRule="auto"/>
      <w:textAlignment w:val="auto"/>
    </w:pPr>
    <w:rPr>
      <w:rFonts w:ascii="Arial" w:eastAsia="Calibri" w:hAnsi="Arial" w:cs="Arial"/>
      <w:color w:val="000000"/>
      <w:kern w:val="0"/>
      <w:sz w:val="24"/>
      <w:szCs w:val="24"/>
    </w:rPr>
  </w:style>
  <w:style w:type="numbering" w:customStyle="1" w:styleId="WW8Num2">
    <w:name w:val="WW8Num2"/>
    <w:basedOn w:val="Brezseznama"/>
    <w:pPr>
      <w:numPr>
        <w:numId w:val="1"/>
      </w:numPr>
    </w:pPr>
  </w:style>
  <w:style w:type="numbering" w:customStyle="1" w:styleId="WW8Num3">
    <w:name w:val="WW8Num3"/>
    <w:basedOn w:val="Brezseznama"/>
    <w:pPr>
      <w:numPr>
        <w:numId w:val="2"/>
      </w:numPr>
    </w:pPr>
  </w:style>
  <w:style w:type="numbering" w:customStyle="1" w:styleId="WW8Num4">
    <w:name w:val="WW8Num4"/>
    <w:basedOn w:val="Brezseznam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Tahoma"/>
        <w:kern w:val="3"/>
        <w:sz w:val="22"/>
        <w:szCs w:val="22"/>
        <w:lang w:val="sl-SI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suppressAutoHyphens/>
    </w:pPr>
  </w:style>
  <w:style w:type="paragraph" w:styleId="Naslov1">
    <w:name w:val="heading 1"/>
    <w:basedOn w:val="Standard"/>
    <w:next w:val="Standard"/>
    <w:pPr>
      <w:keepNext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slov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pPr>
      <w:jc w:val="center"/>
    </w:pPr>
    <w:rPr>
      <w:i/>
      <w:iCs/>
    </w:r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Odstavekseznama">
    <w:name w:val="List Paragraph"/>
    <w:pPr>
      <w:suppressAutoHyphens/>
      <w:ind w:left="720"/>
    </w:pPr>
    <w:rPr>
      <w:rFonts w:eastAsia="Calibri" w:cs="Times New Roman"/>
    </w:rPr>
  </w:style>
  <w:style w:type="paragraph" w:styleId="Navadensplet">
    <w:name w:val="Normal (Web)"/>
    <w:pPr>
      <w:suppressAutoHyphens/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customStyle="1" w:styleId="esegmenth4">
    <w:name w:val="esegment_h4"/>
    <w:pPr>
      <w:suppressAutoHyphens/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paragraph" w:customStyle="1" w:styleId="NASLOVODSTAVKA">
    <w:name w:val="NASLOV_ODSTAVKA"/>
    <w:pPr>
      <w:suppressAutoHyphens/>
      <w:spacing w:before="120" w:after="120" w:line="300" w:lineRule="auto"/>
      <w:jc w:val="both"/>
    </w:pPr>
    <w:rPr>
      <w:rFonts w:ascii="Arial" w:eastAsia="Times New Roman" w:hAnsi="Arial"/>
      <w:sz w:val="20"/>
      <w:lang w:eastAsia="sl-SI"/>
    </w:rPr>
  </w:style>
  <w:style w:type="paragraph" w:customStyle="1" w:styleId="lentevilenje">
    <w:name w:val="člen_številčenje"/>
    <w:pPr>
      <w:suppressAutoHyphens/>
      <w:spacing w:before="360" w:after="120" w:line="300" w:lineRule="auto"/>
      <w:ind w:left="5039"/>
      <w:jc w:val="center"/>
    </w:pPr>
    <w:rPr>
      <w:rFonts w:ascii="Arial" w:eastAsia="Times New Roman" w:hAnsi="Arial" w:cs="Times New Roman"/>
      <w:sz w:val="20"/>
      <w:lang w:eastAsia="sl-SI"/>
    </w:rPr>
  </w:style>
  <w:style w:type="paragraph" w:customStyle="1" w:styleId="PORAVNAVALSRED">
    <w:name w:val="PORAVNAVA_ČL_SRED"/>
    <w:pPr>
      <w:tabs>
        <w:tab w:val="center" w:pos="432"/>
      </w:tabs>
      <w:suppressAutoHyphens/>
      <w:spacing w:after="120" w:line="300" w:lineRule="auto"/>
      <w:jc w:val="center"/>
    </w:pPr>
    <w:rPr>
      <w:rFonts w:ascii="Arial" w:eastAsia="Times New Roman" w:hAnsi="Arial" w:cs="Times New Roman"/>
      <w:sz w:val="20"/>
      <w:lang w:eastAsia="sl-SI"/>
    </w:rPr>
  </w:style>
  <w:style w:type="paragraph" w:customStyle="1" w:styleId="TEVILKALENA">
    <w:name w:val="ŠTEVILKA_ČLENA"/>
    <w:pPr>
      <w:suppressAutoHyphens/>
    </w:pPr>
  </w:style>
  <w:style w:type="paragraph" w:customStyle="1" w:styleId="tabelalevo">
    <w:name w:val="tabelalevo"/>
    <w:pPr>
      <w:suppressAutoHyphens/>
      <w:spacing w:before="40" w:after="0" w:line="240" w:lineRule="auto"/>
    </w:pPr>
    <w:rPr>
      <w:rFonts w:ascii="Arial" w:eastAsia="Times New Roman" w:hAnsi="Arial" w:cs="Times New Roman"/>
      <w:sz w:val="16"/>
      <w:szCs w:val="20"/>
      <w:lang w:eastAsia="sl-SI"/>
    </w:rPr>
  </w:style>
  <w:style w:type="paragraph" w:customStyle="1" w:styleId="p">
    <w:name w:val="p"/>
    <w:basedOn w:val="Standard"/>
    <w:pPr>
      <w:spacing w:before="280" w:after="280"/>
    </w:pPr>
  </w:style>
  <w:style w:type="paragraph" w:customStyle="1" w:styleId="tehninoporoilo">
    <w:name w:val="tehnično poročilo"/>
    <w:basedOn w:val="Standard"/>
    <w:pPr>
      <w:jc w:val="both"/>
    </w:pPr>
    <w:rPr>
      <w:rFonts w:ascii="Arial" w:hAnsi="Arial" w:cs="Arial"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oga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ASLOVODSTAVKAChar">
    <w:name w:val="NASLOV_ODSTAVKA Char"/>
    <w:rPr>
      <w:rFonts w:ascii="Arial" w:eastAsia="Times New Roman" w:hAnsi="Arial" w:cs="Times New Roman"/>
      <w:sz w:val="20"/>
      <w:lang w:eastAsia="sl-SI"/>
    </w:rPr>
  </w:style>
  <w:style w:type="character" w:customStyle="1" w:styleId="PORAVNAVALSREDChar">
    <w:name w:val="PORAVNAVA_ČL_SRED Char"/>
    <w:rPr>
      <w:rFonts w:ascii="Arial" w:eastAsia="Times New Roman" w:hAnsi="Arial" w:cs="Times New Roman"/>
      <w:sz w:val="20"/>
      <w:lang w:eastAsia="sl-SI"/>
    </w:rPr>
  </w:style>
  <w:style w:type="character" w:customStyle="1" w:styleId="lentevilenjeChar">
    <w:name w:val="člen_številčenje Char"/>
    <w:rPr>
      <w:rFonts w:ascii="Arial" w:eastAsia="Times New Roman" w:hAnsi="Arial" w:cs="Times New Roman"/>
      <w:sz w:val="20"/>
      <w:lang w:eastAsia="sl-SI"/>
    </w:rPr>
  </w:style>
  <w:style w:type="character" w:customStyle="1" w:styleId="TEVILKALENAChar">
    <w:name w:val="ŠTEVILKA_ČLENA Char"/>
    <w:rPr>
      <w:rFonts w:ascii="Arial" w:eastAsia="Times New Roman" w:hAnsi="Arial" w:cs="Times New Roman"/>
      <w:sz w:val="20"/>
      <w:lang w:eastAsia="sl-SI"/>
    </w:rPr>
  </w:style>
  <w:style w:type="character" w:customStyle="1" w:styleId="tabelalevoZnak">
    <w:name w:val="tabelalevo Znak"/>
    <w:rPr>
      <w:rFonts w:ascii="Arial" w:eastAsia="Times New Roman" w:hAnsi="Arial" w:cs="Times New Roman"/>
      <w:sz w:val="16"/>
      <w:szCs w:val="20"/>
      <w:lang w:eastAsia="sl-SI"/>
    </w:rPr>
  </w:style>
  <w:style w:type="character" w:customStyle="1" w:styleId="ListLabel1">
    <w:name w:val="ListLabel 1"/>
    <w:rPr>
      <w:rFonts w:cs="Calibri"/>
      <w:b/>
    </w:rPr>
  </w:style>
  <w:style w:type="character" w:customStyle="1" w:styleId="ListLabel2">
    <w:name w:val="ListLabel 2"/>
    <w:rPr>
      <w:rFonts w:eastAsia="Times New Roman" w:cs="Calibri"/>
      <w:b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  <w:b/>
      <w:bCs/>
      <w:i/>
      <w:iCs/>
      <w:smallCaps/>
      <w:dstrike/>
      <w:vanish/>
      <w:color w:val="000000"/>
      <w:spacing w:val="0"/>
      <w:kern w:val="3"/>
      <w:position w:val="0"/>
      <w:sz w:val="20"/>
      <w:szCs w:val="20"/>
      <w:u w:val="none"/>
      <w:vertAlign w:val="baseline"/>
      <w:em w:val="none"/>
    </w:rPr>
  </w:style>
  <w:style w:type="character" w:customStyle="1" w:styleId="ListLabel5">
    <w:name w:val="ListLabel 5"/>
    <w:rPr>
      <w:rFonts w:eastAsia="Times New Roman" w:cs="Arial"/>
      <w:color w:val="00000A"/>
    </w:rPr>
  </w:style>
  <w:style w:type="character" w:customStyle="1" w:styleId="ListLabel6">
    <w:name w:val="ListLabel 6"/>
    <w:rPr>
      <w:rFonts w:cs="Times New Roman"/>
      <w:b/>
      <w:bCs/>
      <w:i/>
      <w:iCs/>
      <w:smallCaps/>
      <w:dstrike/>
      <w:vanish/>
      <w:color w:val="000000"/>
      <w:spacing w:val="0"/>
      <w:kern w:val="3"/>
      <w:position w:val="0"/>
      <w:u w:val="none"/>
      <w:vertAlign w:val="baseline"/>
      <w:em w:val="non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Besedilooblaka">
    <w:name w:val="Balloon Text"/>
    <w:basedOn w:val="Navaden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basedOn w:val="Privzetapisavaodstavka"/>
    <w:rPr>
      <w:rFonts w:ascii="Tahoma" w:hAnsi="Tahoma"/>
      <w:sz w:val="16"/>
      <w:szCs w:val="16"/>
    </w:rPr>
  </w:style>
  <w:style w:type="paragraph" w:customStyle="1" w:styleId="esegmenth4l">
    <w:name w:val="esegment_h4l"/>
    <w:basedOn w:val="Navaden"/>
    <w:pPr>
      <w:widowControl/>
      <w:suppressAutoHyphens w:val="0"/>
      <w:spacing w:after="210" w:line="240" w:lineRule="auto"/>
      <w:textAlignment w:val="auto"/>
    </w:pPr>
    <w:rPr>
      <w:rFonts w:ascii="Times New Roman" w:eastAsia="Times New Roman" w:hAnsi="Times New Roman" w:cs="Times New Roman"/>
      <w:b/>
      <w:bCs/>
      <w:color w:val="333333"/>
      <w:kern w:val="0"/>
      <w:sz w:val="18"/>
      <w:szCs w:val="18"/>
      <w:lang w:eastAsia="sl-SI"/>
    </w:rPr>
  </w:style>
  <w:style w:type="paragraph" w:customStyle="1" w:styleId="Default">
    <w:name w:val="Default"/>
    <w:pPr>
      <w:widowControl/>
      <w:autoSpaceDE w:val="0"/>
      <w:spacing w:after="0" w:line="240" w:lineRule="auto"/>
      <w:textAlignment w:val="auto"/>
    </w:pPr>
    <w:rPr>
      <w:rFonts w:ascii="Arial" w:eastAsia="Calibri" w:hAnsi="Arial" w:cs="Arial"/>
      <w:color w:val="000000"/>
      <w:kern w:val="0"/>
      <w:sz w:val="24"/>
      <w:szCs w:val="24"/>
    </w:rPr>
  </w:style>
  <w:style w:type="numbering" w:customStyle="1" w:styleId="WW8Num2">
    <w:name w:val="WW8Num2"/>
    <w:basedOn w:val="Brezseznama"/>
    <w:pPr>
      <w:numPr>
        <w:numId w:val="1"/>
      </w:numPr>
    </w:pPr>
  </w:style>
  <w:style w:type="numbering" w:customStyle="1" w:styleId="WW8Num3">
    <w:name w:val="WW8Num3"/>
    <w:basedOn w:val="Brezseznama"/>
    <w:pPr>
      <w:numPr>
        <w:numId w:val="2"/>
      </w:numPr>
    </w:pPr>
  </w:style>
  <w:style w:type="numbering" w:customStyle="1" w:styleId="WW8Num4">
    <w:name w:val="WW8Num4"/>
    <w:basedOn w:val="Brezseznam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8</cp:revision>
  <cp:lastPrinted>2015-03-10T14:55:00Z</cp:lastPrinted>
  <dcterms:created xsi:type="dcterms:W3CDTF">2015-02-02T09:25:00Z</dcterms:created>
  <dcterms:modified xsi:type="dcterms:W3CDTF">2015-03-10T15:02:00Z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atek 1">
    <vt:lpwstr/>
  </property>
  <property fmtid="{D5CDD505-2E9C-101B-9397-08002B2CF9AE}" pid="3" name="Podatek 2">
    <vt:lpwstr/>
  </property>
  <property fmtid="{D5CDD505-2E9C-101B-9397-08002B2CF9AE}" pid="4" name="Podatek 3">
    <vt:lpwstr/>
  </property>
  <property fmtid="{D5CDD505-2E9C-101B-9397-08002B2CF9AE}" pid="5" name="Podatek 4">
    <vt:lpwstr/>
  </property>
</Properties>
</file>