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29350185" w:rsidR="00B92D12" w:rsidRDefault="006243AD" w:rsidP="00B92D12">
      <w:r>
        <w:t xml:space="preserve">Nosilec </w:t>
      </w:r>
      <w:r w:rsidR="00684FE7">
        <w:t>kmetijskega gospodarstva</w:t>
      </w:r>
      <w:r>
        <w:t>:</w:t>
      </w:r>
      <w:r w:rsidR="00684FE7">
        <w:t xml:space="preserve">         </w:t>
      </w:r>
      <w:sdt>
        <w:sdtPr>
          <w:id w:val="-80378663"/>
          <w:placeholder>
            <w:docPart w:val="DefaultPlaceholder_1081868574"/>
          </w:placeholder>
          <w:showingPlcHdr/>
        </w:sdtPr>
        <w:sdtEndPr/>
        <w:sdtContent>
          <w:r w:rsidR="00684FE7" w:rsidRPr="00B36559">
            <w:rPr>
              <w:rStyle w:val="Besedilooznabemesta"/>
            </w:rPr>
            <w:t>Kliknite tukaj, če želite vnesti besedilo.</w:t>
          </w:r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31C02E9" w14:textId="475D91F7" w:rsidR="00684FE7" w:rsidRDefault="00684FE7" w:rsidP="00684FE7">
      <w:r>
        <w:t xml:space="preserve">Dopolnilna dejavnost:                     </w:t>
      </w:r>
      <w:r>
        <w:tab/>
      </w:r>
      <w:sdt>
        <w:sdtPr>
          <w:id w:val="75556692"/>
          <w:placeholder>
            <w:docPart w:val="1B91060378A34F9591EB70C652D0CD2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1BF4DE3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Gradnja, nakup ali izboljšanje nepremičnin, namenjenih predelavi in trženju kmetijskih proizvodov" w:value="Gradnja, nakup ali izboljšanje nepremičnin, namenjenih predelavi in trženju kmetijskih proizvodov"/>
            <w:listItem w:displayText="Nakup novih strojev in opreme" w:value="Nakup novih strojev in opreme"/>
            <w:listItem w:displayText="Splošni stroški v zvezi z izdatki iz prejšnjih alinej tega odstavka, kot so honorarji arhitektov, inženirjev in svetovalcev, plačila za storitve svetovanja v zvezi z okoljsko in ekonomsko trajnostjo, vključno s stroški za študije izvedljivosti" w:value="Splošni stroški v zvezi z izdatki iz prejšnjih alinej tega odstavka, kot so honorarji arhitektov, inženirjev in svetovalcev, plačila za storitve svetovanja v zvezi z okoljsko in ekonomsko trajnostjo, vključno s stroški za študije izvedljivosti"/>
            <w:listItem w:displayText="Nakup in razvoj računalniške opreme ter patentov, licenc, avtorskih pravic in blagovnih znamk" w:value="Nakup in razvoj računalniške opreme ter patentov, licenc, avtorskih pravic in blagovnih znamk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1C80A80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0EBA31F1" w14:textId="77777777" w:rsidR="00AE5406" w:rsidRDefault="00AE5406" w:rsidP="00AE5406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181A9C88" w14:textId="77777777" w:rsidR="00AE5406" w:rsidRDefault="00AE5406" w:rsidP="00AE5406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4FF3C6CD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561E858E" w14:textId="7828A795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8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nisem pričel(a) z izvedbo naložbe in da ne bom pričel(a) z izvedbo naložbe pred oddajo vloge na javni razpis za dodelitev pomoči za ohranjanje in spodbujanje razvoja kmetijstva in gozdarstva v Občini Bled za leto 202</w:t>
      </w:r>
      <w:r w:rsidR="009B3116">
        <w:t>6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6BF685AE" w14:textId="6686381B" w:rsidR="00AE5406" w:rsidRPr="00FC58D5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končni </w:t>
      </w:r>
      <w:bookmarkStart w:id="6" w:name="_Hlk177133636"/>
      <w:r>
        <w:t xml:space="preserve">cilj </w:t>
      </w:r>
      <w:r w:rsidRPr="00AE5406">
        <w:t>ukrepa je dodajanje vrednosti kmetijskim proizvodom na kmetiji ter zvišanje deleža prodaje teh proizvodov čim bližje izvoru</w:t>
      </w:r>
    </w:p>
    <w:p w14:paraId="6B735008" w14:textId="77777777" w:rsidR="00AE5406" w:rsidRPr="009E63BD" w:rsidRDefault="00AE5406" w:rsidP="00AE5406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6"/>
    <w:p w14:paraId="41D22B6E" w14:textId="77777777" w:rsidR="00AE5406" w:rsidRDefault="00AE5406" w:rsidP="00AE5406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bo naložba izvedena v skladu z vsemi veljavnimi predpisi;</w:t>
      </w:r>
    </w:p>
    <w:p w14:paraId="36D903C9" w14:textId="77777777" w:rsidR="00AE5406" w:rsidRDefault="00AE5406" w:rsidP="00AE5406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bo investicija zaključena pred izplačilom sredstev;</w:t>
      </w:r>
    </w:p>
    <w:p w14:paraId="3E731448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FDDD4F6" w14:textId="77777777" w:rsidR="00AE5406" w:rsidRDefault="00AE5406" w:rsidP="00AE5406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se strinjam z vsemi določili vzorca pogodbe;</w:t>
      </w:r>
    </w:p>
    <w:p w14:paraId="5C3FD428" w14:textId="77777777" w:rsidR="00AE5406" w:rsidRDefault="00AE5406" w:rsidP="00AE5406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nimam neporavnanih zapadlih obveznosti do občine ali države;</w:t>
      </w:r>
    </w:p>
    <w:p w14:paraId="17BAE6DD" w14:textId="77777777" w:rsidR="00AE5406" w:rsidRDefault="00AE5406" w:rsidP="00AE5406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naložbe ne bom uporabljal(a) v nasprotju z namenom dodelitve sredstev;</w:t>
      </w:r>
    </w:p>
    <w:p w14:paraId="78376813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bo po zaključku investicije le-ta v uporabi za namen, za katerega sem pridobil(a) sredstva, vsaj še 5 let po izplačilu sredstev;</w:t>
      </w:r>
    </w:p>
    <w:p w14:paraId="00A09F29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bom v primeru odobritve pomoči predpisano dokumentacijo vodil(a) in hranil(a) še najmanj 10 let po izplačilu sredstev;</w:t>
      </w:r>
    </w:p>
    <w:p w14:paraId="2D069DEB" w14:textId="77777777" w:rsidR="00AE5406" w:rsidRDefault="00AE5406" w:rsidP="00FB7261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za namen razpisa dovoljujemo Občini Bled pridobitev podatkov iz uradnih evidenc in objavo podatkov o dodeljeni pomoči.</w:t>
      </w:r>
    </w:p>
    <w:p w14:paraId="71E518C9" w14:textId="77777777" w:rsidR="00AE5406" w:rsidRPr="00FC58D5" w:rsidRDefault="00AE5406" w:rsidP="00FB7261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7CF4C93F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55D95F9C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0F35C8E7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6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6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1D69089B" w14:textId="77777777" w:rsidR="00AE5406" w:rsidRPr="00FC58D5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617BEF1C" w14:textId="77777777" w:rsidR="00AE5406" w:rsidRDefault="00AE5406" w:rsidP="00AE5406">
      <w:pPr>
        <w:pStyle w:val="a"/>
        <w:numPr>
          <w:ilvl w:val="0"/>
          <w:numId w:val="4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1AB35217" w14:textId="77777777" w:rsidR="00AE5406" w:rsidRPr="00FC58D5" w:rsidRDefault="00AE5406" w:rsidP="00AE5406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smo seznanjeni, da se državna pomoč dodeljuje v skladu z Uredbo Komisije (EU) št. 702/2014; </w:t>
      </w:r>
    </w:p>
    <w:p w14:paraId="0D60B8BB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529BA590" w14:textId="77777777" w:rsidR="00AE5406" w:rsidRPr="00FC58D5" w:rsidRDefault="00AE5406" w:rsidP="00DA2A3C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82B780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76A881E7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398C6132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597992C1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7FFDCEB" w14:textId="77777777" w:rsidR="00AE5406" w:rsidRPr="00FC58D5" w:rsidRDefault="00AE5406" w:rsidP="00DA2A3C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1DCADEF1" w14:textId="77777777" w:rsidR="00AE5406" w:rsidRPr="00FC58D5" w:rsidRDefault="00AE5406" w:rsidP="00AE5406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74FA4C6" w14:textId="258F8064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C3010A">
        <w:t xml:space="preserve">stavni del te vloge, v letu </w:t>
      </w:r>
      <w:r w:rsidR="00B82664">
        <w:t>202</w:t>
      </w:r>
      <w:r w:rsidR="009B3116">
        <w:t>6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DA2A3C">
      <w:pPr>
        <w:ind w:left="284" w:hanging="284"/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00205AD9"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B82664">
        <w:t>202</w:t>
      </w:r>
      <w:r w:rsidR="009B3116">
        <w:t>6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75C7A9B9" w14:textId="517B1836" w:rsidR="001B2083" w:rsidRDefault="001B2083" w:rsidP="001B208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Kopije predračunov (leto 202</w:t>
      </w:r>
      <w:r w:rsidR="009B3116">
        <w:t>6</w:t>
      </w:r>
      <w:r>
        <w:t>) oz. ponudbe za načrtovano investicijo, ki se morajo glasiti na ime nosilca kmetijskega gospodarstva.</w:t>
      </w:r>
    </w:p>
    <w:p w14:paraId="59B348D9" w14:textId="4DFE94D5" w:rsidR="001B2083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  <w:r w:rsidR="001B2083">
        <w:t>Kopija ustreznega dovoljenja za izvedbo naložbe, v kolikor so za te vrste naložbe v skladu z veljavno zakonodajo potrebna dovoljenja (npr. gradbeno dovoljenje).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3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07819EA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4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Mnenje o upravičenosti </w:t>
      </w:r>
      <w:r w:rsidR="001B2083">
        <w:t>in ekonomičnosti naložbe, ki ga pripravi pristojna strokovna služba</w:t>
      </w:r>
      <w:r>
        <w:t xml:space="preserve">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D164" w14:textId="77777777" w:rsidR="00310416" w:rsidRDefault="00310416" w:rsidP="003C0F09">
      <w:pPr>
        <w:spacing w:after="0" w:line="240" w:lineRule="auto"/>
      </w:pPr>
      <w:r>
        <w:separator/>
      </w:r>
    </w:p>
  </w:endnote>
  <w:endnote w:type="continuationSeparator" w:id="0">
    <w:p w14:paraId="0BE44D0C" w14:textId="77777777" w:rsidR="00310416" w:rsidRDefault="0031041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5649" w14:textId="77777777" w:rsidR="00310416" w:rsidRDefault="00310416" w:rsidP="003C0F09">
      <w:pPr>
        <w:spacing w:after="0" w:line="240" w:lineRule="auto"/>
      </w:pPr>
      <w:r>
        <w:separator/>
      </w:r>
    </w:p>
  </w:footnote>
  <w:footnote w:type="continuationSeparator" w:id="0">
    <w:p w14:paraId="5F019902" w14:textId="77777777" w:rsidR="00310416" w:rsidRDefault="00310416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4F0EC87D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 xml:space="preserve">biti zaključena najkasneje </w:t>
      </w:r>
      <w:r w:rsidR="00BA3944" w:rsidRPr="004C3DF1">
        <w:t>do 30. 1</w:t>
      </w:r>
      <w:r w:rsidR="004C3DF1" w:rsidRPr="004C3DF1">
        <w:t>0</w:t>
      </w:r>
      <w:r w:rsidR="009E736F" w:rsidRPr="004C3DF1">
        <w:t xml:space="preserve">. </w:t>
      </w:r>
      <w:r w:rsidR="00B82664" w:rsidRPr="004C3DF1">
        <w:t>202</w:t>
      </w:r>
      <w:r w:rsidR="009B3116">
        <w:t>6</w:t>
      </w:r>
      <w:r w:rsidRPr="004C3DF1">
        <w:t>, k</w:t>
      </w:r>
      <w:r>
        <w:t>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D42B1CB" w14:textId="77777777" w:rsidR="00AE5406" w:rsidRDefault="00AE5406" w:rsidP="00AE5406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62AB8F36" w14:textId="77777777" w:rsidR="00AE5406" w:rsidRDefault="00AE5406" w:rsidP="00AE5406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90D45" w14:textId="499F6DD9" w:rsidR="000D1361" w:rsidRPr="00741D6A" w:rsidRDefault="0036364A" w:rsidP="000D1361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</w:t>
    </w:r>
    <w:r w:rsidR="000D1361" w:rsidRPr="00741D6A">
      <w:rPr>
        <w:color w:val="A5A5A5" w:themeColor="accent1" w:themeShade="BF"/>
        <w:spacing w:val="0"/>
        <w:kern w:val="0"/>
        <w:sz w:val="20"/>
        <w:szCs w:val="32"/>
      </w:rPr>
      <w:t xml:space="preserve">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611952C8" w14:textId="01BEE796" w:rsidR="00E3156E" w:rsidRDefault="00E3156E" w:rsidP="000D1361">
    <w:pPr>
      <w:pStyle w:val="Naslov"/>
      <w:jc w:val="both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3EDE48CE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0D1361">
      <w:rPr>
        <w:color w:val="A5A5A5" w:themeColor="accent1" w:themeShade="BF"/>
        <w:spacing w:val="0"/>
        <w:kern w:val="0"/>
        <w:sz w:val="20"/>
        <w:szCs w:val="32"/>
      </w:rPr>
      <w:t>NALOŽBE V ZVEZI S PREDELAVO IN TRŽENJEM KMETIJSKIH PROIZVODOV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0713">
    <w:abstractNumId w:val="3"/>
  </w:num>
  <w:num w:numId="2" w16cid:durableId="1629123630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739B1"/>
    <w:rsid w:val="000C2BEC"/>
    <w:rsid w:val="000D1361"/>
    <w:rsid w:val="00110903"/>
    <w:rsid w:val="00131390"/>
    <w:rsid w:val="001B2083"/>
    <w:rsid w:val="001B46EC"/>
    <w:rsid w:val="00213B63"/>
    <w:rsid w:val="00271E06"/>
    <w:rsid w:val="002C3B44"/>
    <w:rsid w:val="002D64FC"/>
    <w:rsid w:val="002E65A4"/>
    <w:rsid w:val="00304ABA"/>
    <w:rsid w:val="00310416"/>
    <w:rsid w:val="003117B8"/>
    <w:rsid w:val="003279DC"/>
    <w:rsid w:val="00347634"/>
    <w:rsid w:val="0036364A"/>
    <w:rsid w:val="003C0F09"/>
    <w:rsid w:val="003E0546"/>
    <w:rsid w:val="00413243"/>
    <w:rsid w:val="00423D43"/>
    <w:rsid w:val="004833AC"/>
    <w:rsid w:val="004841C6"/>
    <w:rsid w:val="00492A05"/>
    <w:rsid w:val="004B0B49"/>
    <w:rsid w:val="004C3DF1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84FE7"/>
    <w:rsid w:val="006D3796"/>
    <w:rsid w:val="00703FF3"/>
    <w:rsid w:val="007362BF"/>
    <w:rsid w:val="0074034D"/>
    <w:rsid w:val="00741D6A"/>
    <w:rsid w:val="00753DB3"/>
    <w:rsid w:val="007555C5"/>
    <w:rsid w:val="007A47FF"/>
    <w:rsid w:val="00811AAA"/>
    <w:rsid w:val="00816196"/>
    <w:rsid w:val="00862489"/>
    <w:rsid w:val="0087023B"/>
    <w:rsid w:val="00884D49"/>
    <w:rsid w:val="008C2DD2"/>
    <w:rsid w:val="008D2AB2"/>
    <w:rsid w:val="00952E54"/>
    <w:rsid w:val="00961DD6"/>
    <w:rsid w:val="009B1A81"/>
    <w:rsid w:val="009B2B40"/>
    <w:rsid w:val="009B3116"/>
    <w:rsid w:val="009E387E"/>
    <w:rsid w:val="009E736F"/>
    <w:rsid w:val="00A0738F"/>
    <w:rsid w:val="00A12E8A"/>
    <w:rsid w:val="00A268B2"/>
    <w:rsid w:val="00A51315"/>
    <w:rsid w:val="00AA2B4D"/>
    <w:rsid w:val="00AB54A7"/>
    <w:rsid w:val="00AB65AE"/>
    <w:rsid w:val="00AE5406"/>
    <w:rsid w:val="00B67BFD"/>
    <w:rsid w:val="00B82664"/>
    <w:rsid w:val="00B92D12"/>
    <w:rsid w:val="00BA3944"/>
    <w:rsid w:val="00BA77DF"/>
    <w:rsid w:val="00BE0350"/>
    <w:rsid w:val="00C14103"/>
    <w:rsid w:val="00C3010A"/>
    <w:rsid w:val="00C44D7C"/>
    <w:rsid w:val="00CA11B6"/>
    <w:rsid w:val="00CF0FC6"/>
    <w:rsid w:val="00D035CD"/>
    <w:rsid w:val="00D4076F"/>
    <w:rsid w:val="00D65390"/>
    <w:rsid w:val="00DA2A3C"/>
    <w:rsid w:val="00DA484E"/>
    <w:rsid w:val="00DB1843"/>
    <w:rsid w:val="00DB39B3"/>
    <w:rsid w:val="00DB6454"/>
    <w:rsid w:val="00DD07D8"/>
    <w:rsid w:val="00DD5E35"/>
    <w:rsid w:val="00E13444"/>
    <w:rsid w:val="00E22A01"/>
    <w:rsid w:val="00E3156E"/>
    <w:rsid w:val="00E77A4A"/>
    <w:rsid w:val="00E83102"/>
    <w:rsid w:val="00E8712E"/>
    <w:rsid w:val="00EA0722"/>
    <w:rsid w:val="00EE51BC"/>
    <w:rsid w:val="00EF45A0"/>
    <w:rsid w:val="00F039BF"/>
    <w:rsid w:val="00F159BC"/>
    <w:rsid w:val="00F4013B"/>
    <w:rsid w:val="00FB69D7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AE5406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1B91060378A34F9591EB70C652D0CD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A247CC-D210-4F61-ACFD-06A8C11EAEA7}"/>
      </w:docPartPr>
      <w:docPartBody>
        <w:p w:rsidR="00375D47" w:rsidRDefault="00375D47" w:rsidP="00375D47">
          <w:pPr>
            <w:pStyle w:val="1B91060378A34F9591EB70C652D0CD2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0520C4"/>
    <w:rsid w:val="00214CE8"/>
    <w:rsid w:val="00375D47"/>
    <w:rsid w:val="004841C6"/>
    <w:rsid w:val="00663CD2"/>
    <w:rsid w:val="006A2447"/>
    <w:rsid w:val="00716862"/>
    <w:rsid w:val="0087023B"/>
    <w:rsid w:val="0088486B"/>
    <w:rsid w:val="00952E54"/>
    <w:rsid w:val="00A2635C"/>
    <w:rsid w:val="00A81B60"/>
    <w:rsid w:val="00B208A4"/>
    <w:rsid w:val="00D1112A"/>
    <w:rsid w:val="00D4076F"/>
    <w:rsid w:val="00DC5062"/>
    <w:rsid w:val="00E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75D47"/>
    <w:rPr>
      <w:color w:val="808080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B91060378A34F9591EB70C652D0CD2D">
    <w:name w:val="1B91060378A34F9591EB70C652D0CD2D"/>
    <w:rsid w:val="00375D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Teja Trpin</cp:lastModifiedBy>
  <cp:revision>19</cp:revision>
  <cp:lastPrinted>2024-09-16T11:32:00Z</cp:lastPrinted>
  <dcterms:created xsi:type="dcterms:W3CDTF">2019-02-28T08:52:00Z</dcterms:created>
  <dcterms:modified xsi:type="dcterms:W3CDTF">2026-03-03T08:26:00Z</dcterms:modified>
</cp:coreProperties>
</file>