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823E36">
        <w:rPr>
          <w:rFonts w:ascii="Cambria" w:hAnsi="Cambria"/>
          <w:b/>
        </w:rPr>
        <w:t xml:space="preserve">ŽELJA V OBČINI BLED ZA LETO </w:t>
      </w:r>
      <w:r w:rsidR="00DD14A7">
        <w:rPr>
          <w:rFonts w:ascii="Cambria" w:hAnsi="Cambria"/>
          <w:b/>
        </w:rPr>
        <w:t>2020</w:t>
      </w:r>
    </w:p>
    <w:p w:rsidR="006A62B2" w:rsidRDefault="00563A42" w:rsidP="006A62B2">
      <w:pPr>
        <w:jc w:val="center"/>
        <w:rPr>
          <w:rFonts w:ascii="Cambria" w:hAnsi="Cambria"/>
          <w:b/>
        </w:rPr>
      </w:pPr>
      <w:r>
        <w:rPr>
          <w:rFonts w:ascii="Cambria" w:hAnsi="Cambria"/>
          <w:b/>
        </w:rPr>
        <w:t>Pomoč za izobraževanje in usposabljanje na področju nekmetijskih dejavnosti na kmetiji ter predelave in trženja</w:t>
      </w:r>
      <w:r w:rsidR="003135E8">
        <w:rPr>
          <w:rFonts w:ascii="Cambria" w:hAnsi="Cambria"/>
          <w:b/>
        </w:rPr>
        <w:t xml:space="preserve"> – de minimis</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4. 3. </w:t>
      </w:r>
      <w:r w:rsidR="00DD14A7">
        <w:rPr>
          <w:rFonts w:ascii="Cambria" w:hAnsi="Cambria"/>
          <w:color w:val="000000"/>
        </w:rPr>
        <w:t>2020</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DD14A7">
        <w:rPr>
          <w:rFonts w:ascii="Cambria" w:hAnsi="Cambria"/>
          <w:color w:val="000000"/>
        </w:rPr>
        <w:t>2020</w:t>
      </w:r>
      <w:r w:rsidR="006A62B2"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w:t>
      </w:r>
      <w:proofErr w:type="spellStart"/>
      <w:r w:rsidRPr="00CD4519">
        <w:rPr>
          <w:rFonts w:ascii="Cambria" w:hAnsi="Cambria"/>
          <w:color w:val="000000"/>
        </w:rPr>
        <w:t>minimis</w:t>
      </w:r>
      <w:proofErr w:type="spellEnd"/>
      <w:r w:rsidRPr="00CD4519">
        <w:rPr>
          <w:rFonts w:ascii="Cambria" w:hAnsi="Cambria"/>
          <w:color w:val="000000"/>
        </w:rPr>
        <w:t xml:space="preserve">«). </w:t>
      </w:r>
    </w:p>
    <w:p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rsidR="003B0B1F" w:rsidRPr="00CD4519" w:rsidRDefault="003B0B1F" w:rsidP="003B0B1F">
      <w:pPr>
        <w:autoSpaceDE w:val="0"/>
        <w:autoSpaceDN w:val="0"/>
        <w:adjustRightInd w:val="0"/>
        <w:spacing w:after="0"/>
        <w:jc w:val="both"/>
        <w:rPr>
          <w:rFonts w:ascii="Cambria" w:hAnsi="Cambria"/>
          <w:color w:val="000000"/>
        </w:rPr>
      </w:pP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DD14A7">
        <w:rPr>
          <w:rFonts w:ascii="Cambria" w:hAnsi="Cambria"/>
          <w:color w:val="000000"/>
        </w:rPr>
        <w:t>2020</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DD14A7">
        <w:rPr>
          <w:rFonts w:ascii="Cambria" w:hAnsi="Cambria"/>
        </w:rPr>
        <w:t>2020</w:t>
      </w:r>
      <w:r w:rsidR="00B05F23">
        <w:rPr>
          <w:rFonts w:ascii="Cambria" w:hAnsi="Cambria"/>
        </w:rPr>
        <w:t>.</w:t>
      </w:r>
    </w:p>
    <w:p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DD14A7">
        <w:rPr>
          <w:rFonts w:ascii="Cambria" w:hAnsi="Cambria"/>
        </w:rPr>
        <w:t>2020</w:t>
      </w:r>
      <w:r>
        <w:rPr>
          <w:rFonts w:ascii="Cambria" w:hAnsi="Cambria"/>
        </w:rPr>
        <w:t>.</w:t>
      </w:r>
      <w:r w:rsidR="00CA3C52">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C17F25">
        <w:rPr>
          <w:rFonts w:ascii="Cambria" w:hAnsi="Cambria"/>
          <w:color w:val="000000"/>
        </w:rPr>
        <w:t xml:space="preserve">10. </w:t>
      </w:r>
      <w:r w:rsidR="00DD14A7">
        <w:rPr>
          <w:rFonts w:ascii="Cambria" w:hAnsi="Cambria"/>
          <w:color w:val="000000"/>
        </w:rPr>
        <w:t>2020</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w:t>
      </w:r>
      <w:r w:rsidR="00DD14A7">
        <w:rPr>
          <w:rFonts w:ascii="Cambria" w:hAnsi="Cambria"/>
        </w:rPr>
        <w:t>Marijo Ferjan, višjo svetovalko za vodenje investicij</w:t>
      </w:r>
      <w:r w:rsidR="00DD14A7">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bookmarkStart w:id="0" w:name="_GoBack"/>
      <w:bookmarkEnd w:id="0"/>
    </w:p>
    <w:p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BAE" w:rsidRDefault="00807BAE" w:rsidP="003C0F09">
      <w:pPr>
        <w:spacing w:after="0" w:line="240" w:lineRule="auto"/>
      </w:pPr>
      <w:r>
        <w:separator/>
      </w:r>
    </w:p>
  </w:endnote>
  <w:endnote w:type="continuationSeparator" w:id="0">
    <w:p w:rsidR="00807BAE" w:rsidRDefault="00807BAE"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BF" w:rsidRDefault="006F6A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BF" w:rsidRDefault="006F6A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BAE" w:rsidRDefault="00807BAE" w:rsidP="003C0F09">
      <w:pPr>
        <w:spacing w:after="0" w:line="240" w:lineRule="auto"/>
      </w:pPr>
      <w:r>
        <w:separator/>
      </w:r>
    </w:p>
  </w:footnote>
  <w:footnote w:type="continuationSeparator" w:id="0">
    <w:p w:rsidR="00807BAE" w:rsidRDefault="00807BAE"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BF" w:rsidRDefault="006F6AB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BF" w:rsidRDefault="006F6AB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F6ABF" w:rsidP="006A62B2">
    <w:pPr>
      <w:pStyle w:val="Naslov2"/>
      <w:jc w:val="center"/>
      <w:rPr>
        <w:sz w:val="20"/>
      </w:rPr>
    </w:pPr>
    <w:r>
      <w:rPr>
        <w:sz w:val="20"/>
      </w:rPr>
      <w:t>VZOREC POGODBE – UKREP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32035"/>
    <w:rsid w:val="000B5299"/>
    <w:rsid w:val="000B59DB"/>
    <w:rsid w:val="000D2804"/>
    <w:rsid w:val="00120539"/>
    <w:rsid w:val="001237D0"/>
    <w:rsid w:val="001779B5"/>
    <w:rsid w:val="00213B63"/>
    <w:rsid w:val="002D64FC"/>
    <w:rsid w:val="00304ABA"/>
    <w:rsid w:val="003135E8"/>
    <w:rsid w:val="003279DC"/>
    <w:rsid w:val="003B0B1F"/>
    <w:rsid w:val="003B1A85"/>
    <w:rsid w:val="003C0F09"/>
    <w:rsid w:val="003C69DE"/>
    <w:rsid w:val="004833AC"/>
    <w:rsid w:val="004B0B49"/>
    <w:rsid w:val="004C6B31"/>
    <w:rsid w:val="00553970"/>
    <w:rsid w:val="00563A42"/>
    <w:rsid w:val="005A3CA0"/>
    <w:rsid w:val="005B3B3E"/>
    <w:rsid w:val="00602D51"/>
    <w:rsid w:val="006153C3"/>
    <w:rsid w:val="006A62B2"/>
    <w:rsid w:val="006F6ABF"/>
    <w:rsid w:val="00780E85"/>
    <w:rsid w:val="007A4800"/>
    <w:rsid w:val="00807BAE"/>
    <w:rsid w:val="00811AAA"/>
    <w:rsid w:val="00816196"/>
    <w:rsid w:val="00823E36"/>
    <w:rsid w:val="00867FF0"/>
    <w:rsid w:val="00884D49"/>
    <w:rsid w:val="00956173"/>
    <w:rsid w:val="009E387E"/>
    <w:rsid w:val="009F4507"/>
    <w:rsid w:val="00AA0033"/>
    <w:rsid w:val="00AB54A7"/>
    <w:rsid w:val="00B05F23"/>
    <w:rsid w:val="00C17F25"/>
    <w:rsid w:val="00C966F4"/>
    <w:rsid w:val="00CA3C52"/>
    <w:rsid w:val="00CC0B0C"/>
    <w:rsid w:val="00CE217C"/>
    <w:rsid w:val="00D17CCD"/>
    <w:rsid w:val="00D82C36"/>
    <w:rsid w:val="00DA0345"/>
    <w:rsid w:val="00DD07D8"/>
    <w:rsid w:val="00DD14A7"/>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712-DAD9-49E3-8655-347D5B69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5744</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4</cp:revision>
  <dcterms:created xsi:type="dcterms:W3CDTF">2019-03-01T10:24:00Z</dcterms:created>
  <dcterms:modified xsi:type="dcterms:W3CDTF">2020-02-10T12:32:00Z</dcterms:modified>
</cp:coreProperties>
</file>