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3086" w14:textId="77777777" w:rsidR="00C07A68" w:rsidRDefault="00C07A68" w:rsidP="00C07A68"/>
    <w:p w14:paraId="21A299FD" w14:textId="77777777" w:rsidR="000A239B" w:rsidRPr="000A239B" w:rsidRDefault="000A239B" w:rsidP="000A239B">
      <w:pPr>
        <w:jc w:val="center"/>
        <w:rPr>
          <w:b/>
          <w:bCs/>
        </w:rPr>
      </w:pPr>
      <w:r w:rsidRPr="000A239B">
        <w:rPr>
          <w:b/>
          <w:bCs/>
        </w:rPr>
        <w:t>NASVET STRANKAM SUNCONTRACT OB ODPOVEDI POGODBE O DOBAVI ELEKTRIKE</w:t>
      </w:r>
    </w:p>
    <w:p w14:paraId="75FA4EA2" w14:textId="77777777" w:rsidR="000A239B" w:rsidRPr="000A239B" w:rsidRDefault="000A239B" w:rsidP="000A239B">
      <w:pPr>
        <w:jc w:val="center"/>
        <w:rPr>
          <w:b/>
          <w:bCs/>
        </w:rPr>
      </w:pPr>
    </w:p>
    <w:p w14:paraId="1EA780E2" w14:textId="77777777" w:rsidR="000A239B" w:rsidRPr="000A239B" w:rsidRDefault="000A239B" w:rsidP="000A239B">
      <w:r w:rsidRPr="000A239B">
        <w:t>Vsak dobavitelj električne energije mora biti vključen v bilančno shemo. To pomeni, da mora imeti vsak dobavitelj ves čas usklajeno proizvodnjo in porabo električne energije pri svojih strankah na ravni svoje bilančne skupine. Poslovni model podjetja</w:t>
      </w:r>
      <w:r w:rsidRPr="000A239B">
        <w:rPr>
          <w:b/>
          <w:bCs/>
        </w:rPr>
        <w:t xml:space="preserve"> </w:t>
      </w:r>
      <w:proofErr w:type="spellStart"/>
      <w:r w:rsidRPr="000A239B">
        <w:rPr>
          <w:b/>
          <w:bCs/>
        </w:rPr>
        <w:t>Suncontract</w:t>
      </w:r>
      <w:proofErr w:type="spellEnd"/>
      <w:r w:rsidRPr="000A239B">
        <w:rPr>
          <w:b/>
          <w:bCs/>
        </w:rPr>
        <w:t xml:space="preserve"> </w:t>
      </w:r>
      <w:r w:rsidRPr="000A239B">
        <w:t xml:space="preserve">je do danes temeljil na tem, da v preteklosti ni bilo potrebno za proizvedeno elektriko iz sončnih elektrarn, ki jo je podjetje preusmerjalo k drugim odjemalcem, plačevati omrežnino. Na ta način je lahko stranka, ki je v posameznih obdobjih dneva proizvedla viške električne energije, to elektriko brez plačevanja omrežnine pošiljala k nekemu drugemu odjemalcu. V kolikor tega ni imela sama, je podjetje </w:t>
      </w:r>
      <w:proofErr w:type="spellStart"/>
      <w:r w:rsidRPr="000A239B">
        <w:t>SunContract</w:t>
      </w:r>
      <w:proofErr w:type="spellEnd"/>
      <w:r w:rsidRPr="000A239B">
        <w:t xml:space="preserve"> samo uredilo porabo te elektrike preko svoje platforme. Ta platforma je in omogoča tudi danes brezskrbne prenose elektrike na druga odjemna mesta, vendar ne več zastonj.</w:t>
      </w:r>
    </w:p>
    <w:p w14:paraId="1B082476" w14:textId="77777777" w:rsidR="000A239B" w:rsidRPr="000A239B" w:rsidRDefault="000A239B" w:rsidP="000A239B"/>
    <w:p w14:paraId="226B8BD9" w14:textId="60233393" w:rsidR="000A239B" w:rsidRPr="000A239B" w:rsidRDefault="000A239B" w:rsidP="000A239B">
      <w:r w:rsidRPr="000A239B">
        <w:t xml:space="preserve">Tak poslovni model ni bil vzdržen, na kar smo podjetje </w:t>
      </w:r>
      <w:proofErr w:type="spellStart"/>
      <w:r w:rsidRPr="000A239B">
        <w:t>SunContract</w:t>
      </w:r>
      <w:proofErr w:type="spellEnd"/>
      <w:r w:rsidRPr="000A239B">
        <w:t xml:space="preserve"> opozarjali tudi nekateri energetski svetovalci </w:t>
      </w:r>
      <w:r w:rsidRPr="000A239B">
        <w:rPr>
          <w:b/>
          <w:bCs/>
        </w:rPr>
        <w:t xml:space="preserve">mreže </w:t>
      </w:r>
      <w:proofErr w:type="spellStart"/>
      <w:r w:rsidRPr="000A239B">
        <w:rPr>
          <w:b/>
          <w:bCs/>
        </w:rPr>
        <w:t>EnSvet</w:t>
      </w:r>
      <w:proofErr w:type="spellEnd"/>
      <w:r w:rsidR="000E5ABE">
        <w:rPr>
          <w:b/>
          <w:bCs/>
        </w:rPr>
        <w:t xml:space="preserve"> in Kontaktne točke OVE</w:t>
      </w:r>
      <w:r w:rsidRPr="000A239B">
        <w:t>. Poleg tega se je že dalj časa napovedovalo (od ustanovitve Agencije za energijo), da bodo elektro distributerji za vsak zgoraj opisan prenos elektrike v bodoče zaračunavali omrežnino. To je tudi pravilno z vidika sorazmernosti, saj obstaja pravilo, da vsak plača prenos elektrike v omrežju toliko, kolikor omrežje uporablja.</w:t>
      </w:r>
    </w:p>
    <w:p w14:paraId="12E0DA87" w14:textId="77777777" w:rsidR="000A239B" w:rsidRPr="000A239B" w:rsidRDefault="000A239B" w:rsidP="000A239B"/>
    <w:p w14:paraId="572C2696" w14:textId="77777777" w:rsidR="000A239B" w:rsidRPr="000A239B" w:rsidRDefault="000A239B" w:rsidP="000A239B">
      <w:r w:rsidRPr="000A239B">
        <w:t xml:space="preserve">Težava podjetja </w:t>
      </w:r>
      <w:proofErr w:type="spellStart"/>
      <w:r w:rsidRPr="000A239B">
        <w:t>SunContract</w:t>
      </w:r>
      <w:proofErr w:type="spellEnd"/>
      <w:r w:rsidRPr="000A239B">
        <w:t xml:space="preserve"> je bila v tem, da je v okviru svojega poslovnega modela pokrival le tiste odjemalce, ki so imeli nameščeno sončno elektrarno, svoj zaslužek pa je ustvarjal s ceno prodane električne energije brez plačila omrežnine. Pri tem je imel na strani odjema svoje bilančne skupine le toliko odjemalcev elektrike, kolikor jih je lahko pokril z ustvarjenimi viški na letni ravni. Torej zelo malo. Poleg tega je zaslužil tudi z namestitvijo sončnih elektrarn, ter v primeru namestitve tudi baterijskih hranilnikov tudi z njihovim upravljanjem, ki ni sledilo samooskrbi posameznega odjemalca, temveč polnjenju baterij v času nizkih cen in </w:t>
      </w:r>
      <w:proofErr w:type="spellStart"/>
      <w:r w:rsidRPr="000A239B">
        <w:t>praznenju</w:t>
      </w:r>
      <w:proofErr w:type="spellEnd"/>
      <w:r w:rsidRPr="000A239B">
        <w:t xml:space="preserve"> v času visokih cen, ne glede na profil porabe elektrike posameznega odjemalca.</w:t>
      </w:r>
    </w:p>
    <w:p w14:paraId="53D13583" w14:textId="77777777" w:rsidR="000A239B" w:rsidRPr="000A239B" w:rsidRDefault="000A239B" w:rsidP="000A239B"/>
    <w:p w14:paraId="1BFEC772" w14:textId="77777777" w:rsidR="000A239B" w:rsidRPr="000A239B" w:rsidRDefault="000A239B" w:rsidP="000A239B">
      <w:r w:rsidRPr="000A239B">
        <w:t xml:space="preserve">Z uvedbo novega sistema omrežnine, tak poslovni model ni več mogoč, saj je potrebna izravnava porabe in proizvodnje na ravni bilančne skupine v realnem času. Veliki dobavitelji električne energije težav z viški nimajo, saj imajo običajno med 5 do 10 % odjemalcev, ki imajo nameščeno sončno elektrarno. Taki dobavitelji brez težav poletne viške proizvedene elektrike preusmerijo k drugim odjemalcem, ki poleg električne energije, katere cena pri prodaji je enaka poleti in pozimi, ponoči in podnevi, plačajo tudi omrežnino. Zato tudi ne odganjajo svojih pogodbenih strank na </w:t>
      </w:r>
      <w:proofErr w:type="spellStart"/>
      <w:r w:rsidRPr="000A239B">
        <w:t>SunContractov</w:t>
      </w:r>
      <w:proofErr w:type="spellEnd"/>
      <w:r w:rsidRPr="000A239B">
        <w:t xml:space="preserve"> način.</w:t>
      </w:r>
    </w:p>
    <w:p w14:paraId="183626A0" w14:textId="77777777" w:rsidR="000A239B" w:rsidRPr="000A239B" w:rsidRDefault="000A239B" w:rsidP="000A239B"/>
    <w:p w14:paraId="7074832A" w14:textId="77777777" w:rsidR="000A239B" w:rsidRPr="000A239B" w:rsidRDefault="000A239B" w:rsidP="000A239B">
      <w:r w:rsidRPr="000A239B">
        <w:t xml:space="preserve">Podjetje </w:t>
      </w:r>
      <w:proofErr w:type="spellStart"/>
      <w:r w:rsidRPr="000A239B">
        <w:t>SunContract</w:t>
      </w:r>
      <w:proofErr w:type="spellEnd"/>
      <w:r w:rsidRPr="000A239B">
        <w:t xml:space="preserve"> vam sedaj ponuja možnost, da vgradite poleg sončne elektrarne tudi baterijski hranilnik ter se hkrati odpoveste letnem </w:t>
      </w:r>
      <w:proofErr w:type="spellStart"/>
      <w:r w:rsidRPr="000A239B">
        <w:t>netmeteringu</w:t>
      </w:r>
      <w:proofErr w:type="spellEnd"/>
      <w:r w:rsidRPr="000A239B">
        <w:t xml:space="preserve">. Tudi v tem primeru </w:t>
      </w:r>
      <w:proofErr w:type="spellStart"/>
      <w:r w:rsidRPr="000A239B">
        <w:t>Suncontract</w:t>
      </w:r>
      <w:proofErr w:type="spellEnd"/>
      <w:r w:rsidRPr="000A239B">
        <w:t xml:space="preserve"> ne tvega nič, vi pa izgubite letni </w:t>
      </w:r>
      <w:proofErr w:type="spellStart"/>
      <w:r w:rsidRPr="000A239B">
        <w:t>netmetering</w:t>
      </w:r>
      <w:proofErr w:type="spellEnd"/>
      <w:r w:rsidRPr="000A239B">
        <w:t xml:space="preserve">, kar bo za vas trajno brez možnosti povrnitve tega sistema nekoč v bodočnosti. On bo ponovno zaslužil z montažo baterije, poleg tega pa tudi z upravljanjem vaše baterije, ne upoštevajoč vaš profil rabe elektrike. Na ta način boste dvakrat na zgubi, prvič zaradi trajne izgube letnega </w:t>
      </w:r>
      <w:proofErr w:type="spellStart"/>
      <w:r w:rsidRPr="000A239B">
        <w:t>netmeteringa</w:t>
      </w:r>
      <w:proofErr w:type="spellEnd"/>
      <w:r w:rsidRPr="000A239B">
        <w:t xml:space="preserve">, drugič pa tudi zaradi upravljanja baterije ne upoštevajoč vaš konkretni profil rabe elektrike. To zadnje sicer ne bo trajno, saj boste lahko pogodbo s </w:t>
      </w:r>
      <w:proofErr w:type="spellStart"/>
      <w:r w:rsidRPr="000A239B">
        <w:t>SunContractom</w:t>
      </w:r>
      <w:proofErr w:type="spellEnd"/>
      <w:r w:rsidRPr="000A239B">
        <w:t xml:space="preserve"> po določenem času tudi prekinili.</w:t>
      </w:r>
    </w:p>
    <w:p w14:paraId="40D8E78E" w14:textId="77777777" w:rsidR="000A239B" w:rsidRPr="000A239B" w:rsidRDefault="000A239B" w:rsidP="000A239B"/>
    <w:p w14:paraId="5C3811D2" w14:textId="7AAFD7D7" w:rsidR="000A239B" w:rsidRPr="000A239B" w:rsidRDefault="000A239B" w:rsidP="000A239B">
      <w:r w:rsidRPr="000A239B">
        <w:t>Zaradi navedenega vam svetujem, da čimprej prestopite k drugemu dobavitelju električne energije! Pri tem izberite velike trgovce, kot sta Petrol ali Gen-I, lahko pa tudi druge, če vas seveda vzamejo. V vsakem primeru pa vam svetujem, da svojo sončno elektrarno dogradite z ustrezno velikim baterijskim hranilnikom, katerega upravljajte sami glede na svoje potrebe. Na ta način se boste lahko izognili previsokim koničnim vrednostim moči odjema (</w:t>
      </w:r>
      <w:proofErr w:type="spellStart"/>
      <w:r w:rsidRPr="000A239B">
        <w:t>Peak</w:t>
      </w:r>
      <w:proofErr w:type="spellEnd"/>
      <w:r w:rsidRPr="000A239B">
        <w:t xml:space="preserve"> </w:t>
      </w:r>
      <w:r w:rsidRPr="000E5ABE">
        <w:rPr>
          <w:lang w:val="en-GB"/>
        </w:rPr>
        <w:t>shaving</w:t>
      </w:r>
      <w:r w:rsidRPr="000A239B">
        <w:t xml:space="preserve"> mode), boste bolj samooskrbni (</w:t>
      </w:r>
      <w:proofErr w:type="spellStart"/>
      <w:r w:rsidRPr="000A239B">
        <w:t>Self</w:t>
      </w:r>
      <w:proofErr w:type="spellEnd"/>
      <w:r w:rsidRPr="000A239B">
        <w:t xml:space="preserve"> </w:t>
      </w:r>
      <w:r w:rsidRPr="000E5ABE">
        <w:rPr>
          <w:lang w:val="en-GB"/>
        </w:rPr>
        <w:t>consumption</w:t>
      </w:r>
      <w:r w:rsidRPr="000A239B">
        <w:t xml:space="preserve"> mode), v primeru izpada elektrike pa boste lahko </w:t>
      </w:r>
      <w:proofErr w:type="spellStart"/>
      <w:r w:rsidRPr="000A239B">
        <w:t>ptudi</w:t>
      </w:r>
      <w:proofErr w:type="spellEnd"/>
      <w:r w:rsidRPr="000A239B">
        <w:t xml:space="preserve"> preklopili zgolj na baterijo (</w:t>
      </w:r>
      <w:proofErr w:type="spellStart"/>
      <w:r w:rsidRPr="000A239B">
        <w:t>Backup</w:t>
      </w:r>
      <w:proofErr w:type="spellEnd"/>
      <w:r w:rsidRPr="000A239B">
        <w:t xml:space="preserve"> mode). Prej ali slej bo to nujno, subvencij za to pa ne bo več. Velikost baterijskega hranilnika vam naj načrtuje strokovnjak na podlag</w:t>
      </w:r>
      <w:r w:rsidR="000E5ABE">
        <w:t>i</w:t>
      </w:r>
      <w:r w:rsidRPr="000A239B">
        <w:t xml:space="preserve"> pr</w:t>
      </w:r>
      <w:r w:rsidR="000E5ABE">
        <w:t>o</w:t>
      </w:r>
      <w:r w:rsidRPr="000A239B">
        <w:t xml:space="preserve">fila </w:t>
      </w:r>
      <w:r w:rsidR="000E5ABE">
        <w:t>v</w:t>
      </w:r>
      <w:r w:rsidRPr="000A239B">
        <w:t>aše proizvodnje in porabe elektrike skozi vso leto.</w:t>
      </w:r>
    </w:p>
    <w:p w14:paraId="6E1079F5" w14:textId="77777777" w:rsidR="000A239B" w:rsidRPr="000A239B" w:rsidRDefault="000A239B" w:rsidP="000A239B"/>
    <w:p w14:paraId="09238F96" w14:textId="77777777" w:rsidR="000A239B" w:rsidRPr="000A239B" w:rsidRDefault="000A239B" w:rsidP="000A239B">
      <w:r w:rsidRPr="000A239B">
        <w:t xml:space="preserve">Za dodatno vgradnjo baterije k sončni elektrarni po </w:t>
      </w:r>
      <w:proofErr w:type="spellStart"/>
      <w:r w:rsidRPr="000A239B">
        <w:t>netmeteringu</w:t>
      </w:r>
      <w:proofErr w:type="spellEnd"/>
      <w:r w:rsidRPr="000A239B">
        <w:t xml:space="preserve"> nudi subvencijo Borzen po javnem pozivu JP-SO-03 v višini 275 EUR za kapaciteto baterije 1kWh z omejitvijo navzgor do 27,2 kWh, </w:t>
      </w:r>
      <w:proofErr w:type="spellStart"/>
      <w:r w:rsidRPr="000A239B">
        <w:t>Eko</w:t>
      </w:r>
      <w:proofErr w:type="spellEnd"/>
      <w:r w:rsidRPr="000A239B">
        <w:t xml:space="preserve"> sklad pa nudi ugoden kredit za tovrstno naložbo z oznako 86OB25 s fiksno obrestno mero 0,8%. Taka rešitev je dolgoročno edino pravilna!</w:t>
      </w:r>
    </w:p>
    <w:p w14:paraId="34483067" w14:textId="77777777" w:rsidR="000A239B" w:rsidRPr="000A239B" w:rsidRDefault="000A239B" w:rsidP="000A239B">
      <w:pPr>
        <w:jc w:val="center"/>
      </w:pPr>
    </w:p>
    <w:p w14:paraId="5075C120" w14:textId="77777777" w:rsidR="000A239B" w:rsidRPr="000A239B" w:rsidRDefault="000A239B" w:rsidP="000A239B">
      <w:pPr>
        <w:jc w:val="center"/>
      </w:pPr>
    </w:p>
    <w:p w14:paraId="507EBD12" w14:textId="00A48FEA" w:rsidR="000A239B" w:rsidRPr="000A239B" w:rsidRDefault="000A239B" w:rsidP="000A239B">
      <w:pPr>
        <w:jc w:val="center"/>
      </w:pPr>
      <w:r w:rsidRPr="000A239B">
        <w:t xml:space="preserve">     </w:t>
      </w:r>
      <w:r w:rsidRPr="000A239B">
        <w:tab/>
      </w:r>
      <w:r w:rsidRPr="000A239B">
        <w:tab/>
      </w:r>
      <w:r w:rsidRPr="000A239B">
        <w:tab/>
      </w:r>
      <w:r w:rsidRPr="000A239B">
        <w:tab/>
      </w:r>
      <w:r w:rsidRPr="000A239B">
        <w:tab/>
      </w:r>
      <w:r w:rsidRPr="000A239B">
        <w:tab/>
      </w:r>
      <w:r w:rsidRPr="000A239B">
        <w:tab/>
        <w:t xml:space="preserve">mag. Peter Petrovčič, </w:t>
      </w:r>
      <w:proofErr w:type="spellStart"/>
      <w:r w:rsidRPr="000A239B">
        <w:t>udis</w:t>
      </w:r>
      <w:proofErr w:type="spellEnd"/>
    </w:p>
    <w:p w14:paraId="29282A37" w14:textId="77777777" w:rsidR="000A239B" w:rsidRPr="000A239B" w:rsidRDefault="000A239B" w:rsidP="000A239B">
      <w:pPr>
        <w:jc w:val="center"/>
      </w:pPr>
    </w:p>
    <w:p w14:paraId="3414467F" w14:textId="5EBD3AC3" w:rsidR="00A13856" w:rsidRDefault="000A239B" w:rsidP="000A239B">
      <w:pPr>
        <w:jc w:val="center"/>
      </w:pPr>
      <w:r w:rsidRPr="000A239B">
        <w:t xml:space="preserve">     </w:t>
      </w:r>
      <w:r w:rsidRPr="000A239B">
        <w:tab/>
      </w:r>
      <w:r w:rsidRPr="000A239B">
        <w:tab/>
      </w:r>
      <w:r w:rsidRPr="000A239B">
        <w:tab/>
      </w:r>
      <w:r w:rsidRPr="000A239B">
        <w:tab/>
      </w:r>
      <w:r w:rsidRPr="000A239B">
        <w:tab/>
      </w:r>
      <w:r w:rsidRPr="000A239B">
        <w:tab/>
      </w:r>
      <w:r w:rsidRPr="000A239B">
        <w:tab/>
        <w:t xml:space="preserve">Svetovalec mreže </w:t>
      </w:r>
      <w:proofErr w:type="spellStart"/>
      <w:r w:rsidRPr="000A239B">
        <w:t>EnSvet</w:t>
      </w:r>
      <w:proofErr w:type="spellEnd"/>
    </w:p>
    <w:p w14:paraId="54F25248" w14:textId="3660D640" w:rsidR="000E5ABE" w:rsidRPr="000A239B" w:rsidRDefault="000E5ABE" w:rsidP="000A239B">
      <w:pPr>
        <w:jc w:val="center"/>
      </w:pPr>
      <w:r>
        <w:t xml:space="preserve">                                                                                           Svetovalec Kontaktne točke OVE</w:t>
      </w:r>
    </w:p>
    <w:sectPr w:rsidR="000E5ABE" w:rsidRPr="000A239B" w:rsidSect="00224C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68"/>
    <w:rsid w:val="000A239B"/>
    <w:rsid w:val="000A3787"/>
    <w:rsid w:val="000E5ABE"/>
    <w:rsid w:val="00224C63"/>
    <w:rsid w:val="00273234"/>
    <w:rsid w:val="002E161A"/>
    <w:rsid w:val="00512787"/>
    <w:rsid w:val="007F5B03"/>
    <w:rsid w:val="00A13856"/>
    <w:rsid w:val="00A73049"/>
    <w:rsid w:val="00C07A68"/>
    <w:rsid w:val="00C16970"/>
    <w:rsid w:val="00C24587"/>
    <w:rsid w:val="00DD7737"/>
    <w:rsid w:val="00E74B1A"/>
    <w:rsid w:val="00F2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91BB"/>
  <w15:chartTrackingRefBased/>
  <w15:docId w15:val="{9B7E686F-1BF4-4A48-9D6F-B91833FE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7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7A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7A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7A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7A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7A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7A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7A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7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7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7A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7A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7A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7A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7A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7A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7A6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7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0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7A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07A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7A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07A6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7A6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07A6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7A6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7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4078</Characters>
  <Application>Microsoft Office Word</Application>
  <DocSecurity>0</DocSecurity>
  <Lines>65</Lines>
  <Paragraphs>12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Petrovčič</dc:creator>
  <cp:keywords/>
  <dc:description/>
  <cp:lastModifiedBy>Peter Petrovčič</cp:lastModifiedBy>
  <cp:revision>5</cp:revision>
  <cp:lastPrinted>2025-10-07T16:47:00Z</cp:lastPrinted>
  <dcterms:created xsi:type="dcterms:W3CDTF">2025-10-07T16:58:00Z</dcterms:created>
  <dcterms:modified xsi:type="dcterms:W3CDTF">2025-10-07T17:15:00Z</dcterms:modified>
</cp:coreProperties>
</file>