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1425C2" w:rsidRPr="001425C2" w:rsidTr="001425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tblBorders>
              <w:shd w:val="clear" w:color="auto" w:fill="F0F0F0"/>
              <w:tblCellMar>
                <w:left w:w="90" w:type="dxa"/>
                <w:right w:w="90" w:type="dxa"/>
              </w:tblCellMar>
              <w:tblLook w:val="04A0"/>
            </w:tblPr>
            <w:tblGrid>
              <w:gridCol w:w="9056"/>
            </w:tblGrid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sl-SI" w:eastAsia="sl-SI" w:bidi="ar-SA"/>
                    </w:rPr>
                  </w:pPr>
                  <w:r w:rsidRPr="001425C2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lang w:val="sl-SI" w:eastAsia="sl-SI" w:bidi="ar-SA"/>
                    </w:rPr>
                    <w:t>Pravilnik o uporabi telovadnice Osnovne šole Vojnik</w:t>
                  </w:r>
                </w:p>
              </w:tc>
            </w:tr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sl-SI" w:eastAsia="sl-SI" w:bidi="ar-SA"/>
                    </w:rPr>
                  </w:pPr>
                </w:p>
              </w:tc>
            </w:tr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sl-SI" w:eastAsia="sl-SI" w:bidi="ar-SA"/>
                    </w:rPr>
                  </w:pPr>
                </w:p>
              </w:tc>
            </w:tr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sl-SI" w:eastAsia="sl-SI" w:bidi="ar-SA"/>
                    </w:rPr>
                  </w:pPr>
                </w:p>
              </w:tc>
            </w:tr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sl-SI" w:eastAsia="sl-SI" w:bidi="ar-SA"/>
                    </w:rPr>
                  </w:pPr>
                </w:p>
              </w:tc>
            </w:tr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val="sl-SI" w:eastAsia="sl-SI" w:bidi="ar-SA"/>
                    </w:rPr>
                  </w:pPr>
                  <w:r w:rsidRPr="001425C2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val="sl-SI" w:eastAsia="sl-SI" w:bidi="ar-SA"/>
                    </w:rPr>
                    <w:t>Uradno glasilo slovenskih občin, št. 22/2014</w:t>
                  </w:r>
                </w:p>
              </w:tc>
            </w:tr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val="sl-SI" w:eastAsia="sl-SI" w:bidi="ar-SA"/>
                    </w:rPr>
                  </w:pPr>
                </w:p>
              </w:tc>
            </w:tr>
            <w:tr w:rsidR="001425C2" w:rsidRPr="001425C2">
              <w:trPr>
                <w:tblCellSpacing w:w="0" w:type="dxa"/>
              </w:trPr>
              <w:tc>
                <w:tcPr>
                  <w:tcW w:w="0" w:type="auto"/>
                  <w:shd w:val="clear" w:color="auto" w:fill="F0F0F0"/>
                  <w:tcMar>
                    <w:top w:w="9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61"/>
                    <w:gridCol w:w="1200"/>
                    <w:gridCol w:w="240"/>
                    <w:gridCol w:w="3060"/>
                    <w:gridCol w:w="1585"/>
                  </w:tblGrid>
                  <w:tr w:rsidR="001425C2" w:rsidRPr="001425C2">
                    <w:trPr>
                      <w:gridAfter w:val="3"/>
                      <w:wAfter w:w="4500" w:type="dxa"/>
                      <w:tblCellSpacing w:w="0" w:type="dxa"/>
                    </w:trPr>
                    <w:tc>
                      <w:tcPr>
                        <w:tcW w:w="2760" w:type="dxa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  <w:r w:rsidRPr="001425C2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  <w:t>Datum sprejema:</w:t>
                        </w:r>
                      </w:p>
                    </w:tc>
                    <w:tc>
                      <w:tcPr>
                        <w:tcW w:w="1200" w:type="dxa"/>
                        <w:noWrap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  <w:r w:rsidRPr="001425C2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  <w:t>15.5.2014</w:t>
                        </w:r>
                      </w:p>
                    </w:tc>
                  </w:tr>
                  <w:tr w:rsidR="001425C2" w:rsidRPr="001425C2">
                    <w:trPr>
                      <w:gridAfter w:val="3"/>
                      <w:wAfter w:w="4500" w:type="dxa"/>
                      <w:tblCellSpacing w:w="0" w:type="dxa"/>
                    </w:trPr>
                    <w:tc>
                      <w:tcPr>
                        <w:tcW w:w="2760" w:type="dxa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  <w:r w:rsidRPr="001425C2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  <w:t>Datum objave:</w:t>
                        </w:r>
                      </w:p>
                    </w:tc>
                    <w:tc>
                      <w:tcPr>
                        <w:tcW w:w="1200" w:type="dxa"/>
                        <w:noWrap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  <w:r w:rsidRPr="001425C2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  <w:t>23.5.2014</w:t>
                        </w:r>
                      </w:p>
                    </w:tc>
                  </w:tr>
                  <w:tr w:rsidR="001425C2" w:rsidRPr="001425C2">
                    <w:trPr>
                      <w:tblCellSpacing w:w="0" w:type="dxa"/>
                    </w:trPr>
                    <w:tc>
                      <w:tcPr>
                        <w:tcW w:w="2760" w:type="dxa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  <w:r w:rsidRPr="001425C2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  <w:t>Datum začetka veljavnosti:</w:t>
                        </w:r>
                      </w:p>
                    </w:tc>
                    <w:tc>
                      <w:tcPr>
                        <w:tcW w:w="1200" w:type="dxa"/>
                        <w:noWrap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  <w:r w:rsidRPr="001425C2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  <w:t>24.5.2014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444444"/>
                            <w:sz w:val="20"/>
                            <w:szCs w:val="20"/>
                            <w:lang w:val="sl-SI" w:eastAsia="sl-SI" w:bidi="ar-SA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444444"/>
                            <w:sz w:val="20"/>
                            <w:szCs w:val="20"/>
                            <w:lang w:val="sl-SI" w:eastAsia="sl-SI" w:bidi="ar-SA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1" name="LexWebMasterPage__ctl0_LexWebGlavaDokumenta_imgKlicaj" descr="http://www.lex-localis.info/webImages/Icons/klicaj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exWebMasterPage__ctl0_LexWebGlavaDokumenta_imgKlicaj" descr="http://www.lex-localis.info/webImages/Icons/klicaj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60" w:type="dxa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</w:p>
                    </w:tc>
                  </w:tr>
                  <w:tr w:rsidR="001425C2" w:rsidRPr="001425C2">
                    <w:trPr>
                      <w:tblCellSpacing w:w="0" w:type="dxa"/>
                    </w:trPr>
                    <w:tc>
                      <w:tcPr>
                        <w:tcW w:w="2760" w:type="dxa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</w:p>
                    </w:tc>
                    <w:tc>
                      <w:tcPr>
                        <w:tcW w:w="1200" w:type="dxa"/>
                        <w:noWrap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444444"/>
                            <w:sz w:val="20"/>
                            <w:szCs w:val="20"/>
                            <w:lang w:val="sl-SI" w:eastAsia="sl-SI" w:bidi="ar-SA"/>
                          </w:rPr>
                        </w:pPr>
                      </w:p>
                    </w:tc>
                    <w:tc>
                      <w:tcPr>
                        <w:tcW w:w="3060" w:type="dxa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425C2" w:rsidRPr="001425C2" w:rsidRDefault="001425C2" w:rsidP="001425C2">
                        <w:pPr>
                          <w:spacing w:after="0" w:line="240" w:lineRule="auto"/>
                          <w:ind w:firstLine="0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lang w:val="sl-SI" w:eastAsia="sl-SI" w:bidi="ar-SA"/>
                          </w:rPr>
                        </w:pPr>
                      </w:p>
                    </w:tc>
                  </w:tr>
                </w:tbl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sl-SI" w:eastAsia="sl-SI" w:bidi="ar-SA"/>
                    </w:rPr>
                  </w:pPr>
                </w:p>
              </w:tc>
            </w:tr>
          </w:tbl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Tahoma" w:eastAsia="Times New Roman" w:hAnsi="Tahoma" w:cs="Tahoma"/>
                <w:vanish/>
                <w:color w:val="444444"/>
                <w:sz w:val="20"/>
                <w:szCs w:val="20"/>
                <w:lang w:val="sl-SI" w:eastAsia="sl-SI" w:bidi="ar-S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425C2" w:rsidRPr="001425C2">
              <w:trPr>
                <w:trHeight w:val="9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25C2" w:rsidRPr="001425C2" w:rsidRDefault="001425C2" w:rsidP="001425C2">
                  <w:pPr>
                    <w:spacing w:after="0" w:line="240" w:lineRule="auto"/>
                    <w:ind w:firstLine="0"/>
                    <w:rPr>
                      <w:rFonts w:ascii="Tahoma" w:eastAsia="Times New Roman" w:hAnsi="Tahoma" w:cs="Tahoma"/>
                      <w:color w:val="444444"/>
                      <w:sz w:val="10"/>
                      <w:szCs w:val="20"/>
                      <w:lang w:val="sl-SI" w:eastAsia="sl-SI" w:bidi="ar-SA"/>
                    </w:rPr>
                  </w:pPr>
                </w:p>
              </w:tc>
            </w:tr>
          </w:tbl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</w:pPr>
          </w:p>
        </w:tc>
      </w:tr>
    </w:tbl>
    <w:p w:rsidR="001425C2" w:rsidRPr="001425C2" w:rsidRDefault="001425C2" w:rsidP="001425C2">
      <w:pPr>
        <w:spacing w:after="0" w:line="240" w:lineRule="auto"/>
        <w:ind w:firstLine="0"/>
        <w:rPr>
          <w:rFonts w:ascii="Times New Roman" w:eastAsia="Times New Roman" w:hAnsi="Times New Roman" w:cs="Times New Roman"/>
          <w:vanish/>
          <w:sz w:val="24"/>
          <w:szCs w:val="24"/>
          <w:lang w:val="sl-SI" w:eastAsia="sl-SI" w:bidi="ar-SA"/>
        </w:rPr>
      </w:pP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8"/>
      </w:tblGrid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222222"/>
                <w:sz w:val="20"/>
                <w:szCs w:val="20"/>
                <w:lang w:val="sl-SI" w:eastAsia="sl-SI" w:bidi="ar-SA"/>
              </w:rPr>
              <w:t>Na podlagi</w:t>
            </w:r>
            <w:r w:rsidRPr="001425C2">
              <w:rPr>
                <w:rFonts w:ascii="Tahoma" w:eastAsia="Times New Roman" w:hAnsi="Tahoma" w:cs="Tahoma"/>
                <w:color w:val="222222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7.</w:t>
            </w:r>
            <w:r w:rsidRPr="001425C2">
              <w:rPr>
                <w:rFonts w:ascii="Tahoma" w:eastAsia="Times New Roman" w:hAnsi="Tahoma" w:cs="Tahoma"/>
                <w:color w:val="222222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222222"/>
                <w:sz w:val="20"/>
                <w:szCs w:val="20"/>
                <w:lang w:val="sl-SI" w:eastAsia="sl-SI" w:bidi="ar-SA"/>
              </w:rPr>
              <w:t>in 16. člena</w:t>
            </w:r>
            <w:r w:rsidRPr="001425C2">
              <w:rPr>
                <w:rFonts w:ascii="Tahoma" w:eastAsia="Times New Roman" w:hAnsi="Tahoma" w:cs="Tahoma"/>
                <w:color w:val="222222"/>
                <w:sz w:val="20"/>
                <w:lang w:val="sl-SI" w:eastAsia="sl-SI" w:bidi="ar-SA"/>
              </w:rPr>
              <w:t> </w:t>
            </w:r>
            <w:hyperlink r:id="rId5" w:history="1">
              <w:r w:rsidRPr="001425C2">
                <w:rPr>
                  <w:rFonts w:ascii="Tahoma" w:eastAsia="Times New Roman" w:hAnsi="Tahoma" w:cs="Tahoma"/>
                  <w:color w:val="005082"/>
                  <w:sz w:val="20"/>
                  <w:lang w:val="sl-SI" w:eastAsia="sl-SI" w:bidi="ar-SA"/>
                </w:rPr>
                <w:t>Statuta Občine Vojnik</w:t>
              </w:r>
            </w:hyperlink>
            <w:r w:rsidRPr="001425C2">
              <w:rPr>
                <w:rFonts w:ascii="Tahoma" w:eastAsia="Times New Roman" w:hAnsi="Tahoma" w:cs="Tahoma"/>
                <w:color w:val="222222"/>
                <w:sz w:val="20"/>
                <w:szCs w:val="20"/>
                <w:lang w:val="sl-SI" w:eastAsia="sl-SI" w:bidi="ar-SA"/>
              </w:rPr>
              <w:t xml:space="preserve">  (Uradni list RS, št. 38/2011) ter 3. in 21. </w:t>
            </w:r>
            <w:proofErr w:type="spellStart"/>
            <w:r w:rsidRPr="001425C2">
              <w:rPr>
                <w:rFonts w:ascii="Tahoma" w:eastAsia="Times New Roman" w:hAnsi="Tahoma" w:cs="Tahoma"/>
                <w:color w:val="222222"/>
                <w:sz w:val="20"/>
                <w:szCs w:val="20"/>
                <w:lang w:val="sl-SI" w:eastAsia="sl-SI" w:bidi="ar-SA"/>
              </w:rPr>
              <w:t>člena</w:t>
            </w:r>
            <w:hyperlink r:id="rId6" w:history="1">
              <w:r w:rsidRPr="001425C2">
                <w:rPr>
                  <w:rFonts w:ascii="Tahoma" w:eastAsia="Times New Roman" w:hAnsi="Tahoma" w:cs="Tahoma"/>
                  <w:color w:val="005082"/>
                  <w:sz w:val="20"/>
                  <w:lang w:val="sl-SI" w:eastAsia="sl-SI" w:bidi="ar-SA"/>
                </w:rPr>
                <w:t>Zakona</w:t>
              </w:r>
              <w:proofErr w:type="spellEnd"/>
              <w:r w:rsidRPr="001425C2">
                <w:rPr>
                  <w:rFonts w:ascii="Tahoma" w:eastAsia="Times New Roman" w:hAnsi="Tahoma" w:cs="Tahoma"/>
                  <w:color w:val="005082"/>
                  <w:sz w:val="20"/>
                  <w:lang w:val="sl-SI" w:eastAsia="sl-SI" w:bidi="ar-SA"/>
                </w:rPr>
                <w:t xml:space="preserve"> o športu</w:t>
              </w:r>
            </w:hyperlink>
            <w:r w:rsidRPr="001425C2">
              <w:rPr>
                <w:rFonts w:ascii="Tahoma" w:eastAsia="Times New Roman" w:hAnsi="Tahoma" w:cs="Tahoma"/>
                <w:color w:val="222222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222222"/>
                <w:sz w:val="20"/>
                <w:szCs w:val="20"/>
                <w:lang w:val="sl-SI" w:eastAsia="sl-SI" w:bidi="ar-SA"/>
              </w:rPr>
              <w:t>(Uradni list RS, št. 22/98, 97/01–ZSDP, 110/02–ZG</w:t>
            </w: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O-1 in 15/03–ZOPA) je Občinski svet Občine Vojnik na 29. redni seji dne 15.5.2014  sprejel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E3092"/>
                <w:sz w:val="29"/>
                <w:szCs w:val="29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PRAVILNIK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E3092"/>
                <w:sz w:val="29"/>
                <w:szCs w:val="29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O UPORABI TELOVADNICE OSNOVNE ŠOLE VOJNIK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E3092"/>
                <w:sz w:val="29"/>
                <w:szCs w:val="29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I.       Splošne določbe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Pravilnik o uporabi telovadnice Osnovne šole Vojnik v občini Vojnik (v nadaljevanju pravilnik) ureja uporabo telovadnice Osnovne šole Vojnik (v nadaljevanju telovadnica), ki je v lasti občine Vojnik (v nadaljevanju Občina).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Občina daje telovadnico v upravljanje in uporabo Osnovni šoli Vojnik za čas in namen pouka redne športne vzgoje in interesnih dejavnosti, praviloma do 15 ure. V popoldanskem času Občina daje telovadnico v upravljanje upravljavcu. Občina je lahko hkrati tudi upravljavec telovadnice. Upravljavec daje telovadnico v uporabo drugim uporabnikom v skladu s sprejetim programom dela in urnikom zasedenosti telovadnice, ki je lahko v uporabi do 22. ure.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2.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 telovadnici se izvajajo naslednje dejavnosti: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vzgojno-izobraževalna dejavnost v skladu z Zakonom o osnovi šoli in letnim delovnim načrtom,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športne aktivnosti,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športne prireditve in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druge prireditve.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II.     Prednostna uporaba telovadnice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3.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Upravljavec telovadnice mora pri pripravi urnika upoštevati naslednji vrstni red uporabnikov: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a)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vzgojno-izobraževalni zavodi za izvedbo obveznega programa redne šolske športne vzgoje: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redna športna vzgoja Osnovne šole Vojnik,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interesna dejavnosti Osnovne šole Vojnik,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redna športna vzgoja drugih vzgojno izobraževalnih ali vzgojno varstvenih zavodov v občini Vojnik,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interesne dejavnosti drugih vzgojno izobraževalnih ali vzgojno varstvenih zavodov v občini Vojnik,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občinski programi.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b)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športna in druga društva ali zveza društev s sedežem v Občini Vojnik: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program, vključen v občinski letni program športa,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razvrstitev v višjo kakovostno skupino (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rangiranje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 xml:space="preserve"> društev),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večje število kategoriziranih športnikov v vadbeni skupini,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funkcionalnost telovadnice glede na vrsto in specifičnost športne panoge.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c)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drugi izvajalci programov in športnih dejavnosti: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interesna športna vzgoja otrok in mladine,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programi športnih društev in drugih izvajalcev,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športna vzgoja otrok in mladine usmerjene v kakovostni in vrhunski šport,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vrhunski šport mladih,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 invalidov,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lastRenderedPageBreak/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kakovostni šport,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športna dejavnost študentov,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709" w:hanging="283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Symbol" w:eastAsia="Times New Roman" w:hAnsi="Symbol" w:cs="Times New Roman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športna rekreacija.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d)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izvajalci športnih in drugih prireditev.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4.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Pri pripravi urnika mora upravljavec pri uporabnikih, ki so izvajalci letnega programa športa upoštevati naslednji vrstni red programov: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a)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redna športna vzgoja  in interesne dejavnosti šolskih otrok,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b)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redna športna vzgoja  in interesne dejavnosti predšolskih otrok,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c)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športna vzgoja otrok usmerjenih v kakovostni in vrhunski šport,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d)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interesna športna vzgoja mladine,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e)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kakovostni in vrhunski šport,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f)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šport invalidov in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g)    športna rekreacija.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III.    Pogoji in merila uporabe telovadnice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5.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Predloge uporabnikov za uporabo telovadnice zbere upravljavec enkrat letno na podlagi javnega razpisa. Javni razpis se vsako leto v mesecu juniju objavi na uradni spletni strani občine Vojnik, oglasnih mestih telovadnice in v občinskem glasilu občine Vojnik – Ogledalo (v nadaljevanju občinsko glasilo).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Urnik koriščenja telovadnice za izvedbo obveznega programa šolske športne vzgoje predložijo vzgojno-izobraževalni zavodi upravljavcu do 31. avgusta tekočega leta. Celoten urnik vadbe v telovadnici pripravi upravljavec v sodelovanju z izvajalci športnih programov.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6.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Pri razporeditvi ur upravljavec upošteva prednostno uporabo iz 3. in 4. člena pravilnika. Uporabnikom, ki so izvajalci letnega programa športa, upravljavec zagotovi v telovadnici ure v obsegu, ki jih le ti pridobijo na javnem razpisu.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Pri pripravi urnika upravljavec upošteva urnik, po katerem poteka obvezen program šolske športne vzgoje, in skuša zagotoviti, da se programi športne vzgoje otrok zaključijo do 19. ure.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Ure se izvajalcem letnega programa športa praviloma razdeli od ponedeljka do petka, dodeli se jih lahko tudi v soboto in nedeljo, v kolikor to izhaja iz potrebe športne panoge ali se med tednom ne more zagotoviti zadostnega števila ur.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Izvajalci letnega programa športa, društva  in klubi uporabljajo telovadnico za vadbo in tekmovanja v skladu s svojim programom in dogovorom z upravljavcem tudi ob sobotah, nedeljah in izjemoma praznikih ter v času šolskih in letnih počitnicah. Po potrebi se za takšen način uporabe telovadnice z upravljavcem lahko dogovorijo tudi drugi uporabniki.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Praviloma se lahko telovadnica za izven šolsko športno dejavnost uporablja do 22.00 ure, oziroma v skladu s sprejetim urnikom.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 primeru, da v soboto ali v nedeljo v telovadnici potekajo prireditve (športne, kulturne, zabavne, humanitarne…), imajo le te prednost pred dejavnostjo, ki je opredeljena z urnikom.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7.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Veljaven urnik uporabe telovadnice je javno objavljen na uradni spletni strani občine Vojnik in oglasnih mestih telovadnice.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8.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Upravljavec mora zagotoviti osebo, ki bo skrbela za pravilno uporabo skladno s tem pravilnikom in hišnem redom telovadnice. V primeru škode, povzročene na objektu ali opremi v času uporabe, odgovarja uporabnik.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9.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Upravljavec vodi posebno mesečno evidenco o uporabnikih telovadnice. Iz evidence mora biti razvidno: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lastRenderedPageBreak/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naziv uporabnika,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vrsta uporabnika iz 3. člena tega pravilnika,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obseg uporabe objekta posameznega uporabnika po posameznih objektih oziroma delih objekta,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ugotovljena škoda v objektu ali na opremi ob pričetku vadbe ali nastala v času vadbe in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odgovorna oseba uporabnika.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Osnovna šola Vojnik posreduje lastniku ali upravljavcu poročilo o terminski uporabi telovadnice dvakrat letno, ob koncu šolskega leta (do 15. julija) in ob koncu koledarskega leta (do 15. januarja).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Upravljavec je dolžan lastniku vsako leto do 31. januarja oddati letno poročilo za preteklo leto o obsegu koriščenja ur v telovadnici po posameznih uporabnikih.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IV.    Medsebojno razmerje med upravljavcem in uporabniki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10.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Uporabniki telovadnice z upravljavcem sklenejo letne pogodbe o uporabi, ki določa: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- odgovorno osebo uporabnika,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obdobje in termini uporabe telovadnice,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obseg in urnik uporabe posameznih površine objekta,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višino uporabnine za uporabo objekta,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predčasno prekinitev pogodbe,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druge medsebojne obveznosti.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11.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Upravljavec je dolžan uporabnikom dati v uporabo telovadnico in vgrajene naprave v stanju, ki zagotavlja varno uporabo.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12.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Upravljavec mora uporabniku v terminu, opredeljenem s pogodbo, zagotoviti nemoten dostop in uporabo telovadnice. V primeru, da uporaba v določenem terminu ni mogoča, mora upravljavec obvestiti uporabnika na njegov uradni e-naslov najkasneje v 5 dneh pred terminom, ko uporaba po urniku ni mogoča.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Za odpadle termine po urniku med ponedeljkom in petkom, upravljavec uporabniku, izvajalcu letnega programa športa ni dolžan zagotoviti nadomestnega termina do poteka sklenjene pogodbe o uporabi telovadnice.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13.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Uporabniki telovadnice so dolžni uporabljati telovadnico v skladu s tem pravilnikom in  hišnim redom.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Uporabnik je dolžan redno po zaključku vadbene enote izpolniti evidenco o prisotnosti v telovadnici na obrazcu, ki ga predpiše upravljavec. Iz obrazca mora biti razvidno: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ime uporabnika,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dan in ura uporabe,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program in število udeležencev na vadbi,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ugotovljena škoda v objektu ali na opremi ob pričetku vadbe ali nastala v času vadbe in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left="426" w:hanging="284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Symbol" w:eastAsia="Times New Roman" w:hAnsi="Symbol" w:cs="Arial"/>
                <w:color w:val="444444"/>
                <w:sz w:val="20"/>
                <w:szCs w:val="20"/>
                <w:lang w:val="sl-SI" w:eastAsia="sl-SI" w:bidi="ar-SA"/>
              </w:rPr>
              <w:t>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val="sl-SI" w:eastAsia="sl-SI" w:bidi="ar-SA"/>
              </w:rPr>
              <w:t>     </w:t>
            </w:r>
            <w:r w:rsidRPr="001425C2">
              <w:rPr>
                <w:rFonts w:ascii="Times New Roman" w:eastAsia="Times New Roman" w:hAnsi="Times New Roman" w:cs="Times New Roman"/>
                <w:color w:val="444444"/>
                <w:sz w:val="20"/>
                <w:lang w:val="sl-SI" w:eastAsia="sl-SI" w:bidi="ar-SA"/>
              </w:rPr>
              <w:t> 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odgovorna oseba uporabnika v času vadbe.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Evidenco števila ur uporabe telovadnice vodi upravljavec.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14.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Uporabnik lahko uporablja telovadnico v skladu z urnikom le za programe, opredeljene v pogodbi. Uporabnik lahko spremeni urnik uporabe telovadnice za posamezne programe samo znotraj s pogodbo opredeljenimi urami in v okviru dodeljenih terminov. O spremembi mora pisno ali na uradni e-naslov obvestiti upravljavca najmanj 8 dni pred želeno uveljavitvijo spremenjenega urnika.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 xml:space="preserve">V primeru, da uporabnik, ki je izvajalec letnega programa športa, zlorabi dodeljeni prostor v telovadnici in termin uporablja za izvajanje programov, ki niso opredeljeni v pogodbi, ali ga odda v podnajem, bo na prvem naslednjem javnem razpisu občine za uporabo telovadnice </w:t>
            </w: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lastRenderedPageBreak/>
              <w:t>zavrnjen.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lastRenderedPageBreak/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15.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Uporabnik lahko upravljavcu odpove uporabo najmanj 8 dni pred dnem, ko telovadnice ne bo uporabljal. O odpovedi termina mora uporabnik obvestiti upravljavca na njegov uradni e-naslov najkasneje v 8 dneh pred terminom, ko termina ne bo uporabljal.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 primeru odpovedi termina s strani uporabnika, upravljavec ni dolžan zagotoviti nadomestnega termina.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 kolikor uporabnik termina ne odpove v skladu s prvim odstavkom, se šteje, da je bil termin uporabljen v skladu z urnikom.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16.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 prostih terminih, ki niso zapolnjeni na podlagi javnega poziva, upravljavec obvešča zainteresirano javnost z objavo na uradni spletni strani občine Vojnik, oglasnih mestih telovadnice in občinskem glasilu.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17.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Za potrebe organizacije prireditev mora zainteresirani organizator prireditve podati pisno vlogo za uporabo telovadnice najmanj 30 dni pred dnevom izvedbe prireditve.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Za športna tekmovanja, mora organizator podati upravljavcu razpored tekmovanj do 20. v mesecu za naslednji mesec. V primeru spremembe termina tekmovanja, do katerega pride v času trajanja ligaškega tekmovanja, mora organizator o tem obvestiti upravljavca telovadnice najmanj 3 dni pred dnem, ko naj bi se tekmovanje izvedlo. Upravljavec odobri spremembo v primeru, da telovadnica v spremenjenem terminu ni zasedena oziroma zagotovi prosti termin v skladu z dogovorom z ostalimi uporabniki.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18.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Za izvedbo prireditve v telovadnici upravljavec in organizator prireditve podpišeta pogodbo, v kateri uredita medsebojne obveznosti.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Organizator prireditve in upravljavec objekta morata pri organizaciji prireditve upoštevati vsa zakonska določila, ki mu jih nalagajo Zakon o javnih zbiranjih, podzakonski akti in zakoni, ki urejajo področje, na katerega se prireditev nanaša.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V.      Uporabnina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19.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Uporabnina za uporabo telovadnice se obračunava v skladu z veljavnim cenikom, ki ga sprejme in spreminja občinski svet. Veljaven cenik uporabe telovadnice se objavi na uradni spletni strani občine Vojnik in oglasnih mestih telovadnice.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Uporabo telovadnice se iz proračuna Občine Vojnik sofinancira vsem društvom oziroma klubom s sedežem v občini Vojnik, ki izpolnjujejo naslednje pogoje: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a)    kandidirajo na razpisu, ki ga objavi občina Vojnik za sofinanciranje programov športa,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b)    organizirano izvajajo vadbo športne vzgoje za otroke in mladino usmerjene v kakovostni in vrhunski šport,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c)    tekmujejo v uradnih tekmovalnih sistemih panožnih športnih zvez.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Uporabo telovadnice se iz proračuna Občine Vojnik sofinancira tudi vsem društvom oziroma klubom s sedežem v občini Vojnik, ki se pripravljajo na državna in med državna tekmovanja.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Uporabo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telovadnice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se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sofinancira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tudi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vsem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društvom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organizacijam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in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javnim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zavodom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iz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občine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Vojnik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ki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uporabljajo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telovadnico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za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kulturne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prireditve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.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Sodelujejo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pripravi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prostora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in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urejanju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telovadnice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končani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prireditvi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ter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ne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pobirajo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vstopnine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Vsa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društva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organizacije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in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javni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zavodi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iz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občine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Vojnik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ki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uporabljajo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telovadnico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za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kulturne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prireditve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in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na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prireditvi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pobirajo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vstopnino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plačajo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uporabnino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telovadnice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ceniku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sl-SI" w:eastAsia="sl-SI" w:bidi="ar-SA"/>
              </w:rPr>
            </w:pP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Vsem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zunanjim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uporabnikom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društvom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klubom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,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skupinam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in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drugim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pravnim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ter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fizičnim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osebam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se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zaračuna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uporaba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telovadnice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po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 xml:space="preserve"> </w:t>
            </w:r>
            <w:proofErr w:type="spellStart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ceniku</w:t>
            </w:r>
            <w:proofErr w:type="spellEnd"/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eastAsia="sl-SI" w:bidi="ar-SA"/>
              </w:rPr>
              <w:t>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lang w:val="sl-SI" w:eastAsia="sl-SI" w:bidi="ar-SA"/>
              </w:rPr>
              <w:t>20.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lastRenderedPageBreak/>
              <w:t>Sredstva iz uporabnin za telovadnico so prihodek lastnika ali upravljavca in se vodijo na posebnem kontu. Sredstva so namenjena kritju stroškov obratovanja in tekočega vzdrževanja telovadnice.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VI.    Zavarovanje odgovornosti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21.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Za zavarovanje izvajanja svojih programov in vseh svojih udeležencev mora poskrbeti uporabnik.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VII.   Vzdrževanje, priprava in čiščenje telovadnice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22.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Za vzdrževanje, pripravo in čiščenje telovadnice skleneta lastnik in Osnovna šola Vojnik poseben dogovor.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VIII.    Reševanje sporov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23.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O spornih zadevah glede prednostnega vrstnega reda uporabe in uporabnine odloča Odbor za družbene dejavnosti Občine Vojnik, če pa to ne bo mogoče pa župan občine Vojnik.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Pogodbeni stranki bosta spore glede povzročene škode na objektu in opremi ter drugih spornih zadevah, reševali sporazumno. Če pa to ne bo mogoče, bo za reševanje sporov pristojno sodišče v Celju.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IX.    Prehodne in končne določbe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24.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Javni razpis za uporabo telovadnice za leto 2013/2014 bo objavljen na uradni spletni strani občine Vojnik in na oglasni deski na občini Vojnik, v mesecu avgustu.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l-SI" w:eastAsia="sl-SI" w:bidi="ar-SA"/>
              </w:rPr>
              <w:t>25. člen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Ta pravilnik začne veljati naslednji dan po objavi v Uradnem glasilu slovenskih občin.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Arial" w:eastAsia="Times New Roman" w:hAnsi="Arial" w:cs="Arial"/>
                <w:color w:val="222222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sz w:val="20"/>
                <w:szCs w:val="20"/>
                <w:lang w:val="sl-SI" w:eastAsia="sl-SI" w:bidi="ar-SA"/>
              </w:rPr>
              <w:t>Št.: 032-0007/ 2014/4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Vojnik, dne  15.5.2014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5C2" w:rsidRPr="001425C2" w:rsidRDefault="001425C2" w:rsidP="001425C2">
            <w:pPr>
              <w:spacing w:after="0" w:line="240" w:lineRule="auto"/>
              <w:ind w:firstLine="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val="sl-SI" w:eastAsia="sl-SI" w:bidi="ar-SA"/>
              </w:rPr>
            </w:pPr>
            <w:r w:rsidRPr="001425C2"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  <w:t> </w:t>
            </w:r>
          </w:p>
        </w:tc>
      </w:tr>
      <w:tr w:rsidR="001425C2" w:rsidRPr="001425C2" w:rsidTr="001425C2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6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9"/>
              <w:gridCol w:w="2694"/>
            </w:tblGrid>
            <w:tr w:rsidR="001425C2" w:rsidRPr="001425C2">
              <w:tc>
                <w:tcPr>
                  <w:tcW w:w="1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5C2" w:rsidRPr="001425C2" w:rsidRDefault="001425C2" w:rsidP="001425C2">
                  <w:pPr>
                    <w:spacing w:after="0" w:line="253" w:lineRule="atLeast"/>
                    <w:ind w:firstLine="0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val="sl-SI" w:eastAsia="sl-SI" w:bidi="ar-SA"/>
                    </w:rPr>
                  </w:pPr>
                  <w:r w:rsidRPr="001425C2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sl-SI" w:eastAsia="sl-SI" w:bidi="ar-SA"/>
                    </w:rPr>
                    <w:t> </w:t>
                  </w:r>
                </w:p>
              </w:tc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5C2" w:rsidRPr="001425C2" w:rsidRDefault="001425C2" w:rsidP="001425C2">
                  <w:pPr>
                    <w:spacing w:after="0" w:line="253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val="sl-SI" w:eastAsia="sl-SI" w:bidi="ar-SA"/>
                    </w:rPr>
                  </w:pPr>
                  <w:r w:rsidRPr="001425C2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sl-SI" w:eastAsia="sl-SI" w:bidi="ar-SA"/>
                    </w:rPr>
                    <w:t>Občina Vojnik</w:t>
                  </w:r>
                </w:p>
              </w:tc>
            </w:tr>
            <w:tr w:rsidR="001425C2" w:rsidRPr="001425C2">
              <w:tc>
                <w:tcPr>
                  <w:tcW w:w="1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5C2" w:rsidRPr="001425C2" w:rsidRDefault="001425C2" w:rsidP="001425C2">
                  <w:pPr>
                    <w:spacing w:after="0" w:line="253" w:lineRule="atLeast"/>
                    <w:ind w:firstLine="0"/>
                    <w:jc w:val="both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val="sl-SI" w:eastAsia="sl-SI" w:bidi="ar-SA"/>
                    </w:rPr>
                  </w:pPr>
                  <w:r w:rsidRPr="001425C2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sl-SI" w:eastAsia="sl-SI" w:bidi="ar-SA"/>
                    </w:rPr>
                    <w:t> </w:t>
                  </w:r>
                </w:p>
              </w:tc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25C2" w:rsidRPr="001425C2" w:rsidRDefault="001425C2" w:rsidP="001425C2">
                  <w:pPr>
                    <w:spacing w:after="0" w:line="253" w:lineRule="atLeast"/>
                    <w:ind w:firstLine="0"/>
                    <w:jc w:val="center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val="sl-SI" w:eastAsia="sl-SI" w:bidi="ar-SA"/>
                    </w:rPr>
                  </w:pPr>
                  <w:r w:rsidRPr="001425C2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sl-SI" w:eastAsia="sl-SI" w:bidi="ar-SA"/>
                    </w:rPr>
                    <w:t xml:space="preserve">Benedikt </w:t>
                  </w:r>
                  <w:proofErr w:type="spellStart"/>
                  <w:r w:rsidRPr="001425C2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sl-SI" w:eastAsia="sl-SI" w:bidi="ar-SA"/>
                    </w:rPr>
                    <w:t>Podergajs</w:t>
                  </w:r>
                  <w:proofErr w:type="spellEnd"/>
                  <w:r w:rsidRPr="001425C2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val="sl-SI" w:eastAsia="sl-SI" w:bidi="ar-SA"/>
                    </w:rPr>
                    <w:t>, župan</w:t>
                  </w:r>
                </w:p>
              </w:tc>
            </w:tr>
          </w:tbl>
          <w:p w:rsidR="001425C2" w:rsidRPr="001425C2" w:rsidRDefault="001425C2" w:rsidP="001425C2">
            <w:pPr>
              <w:spacing w:after="0" w:line="240" w:lineRule="auto"/>
              <w:ind w:firstLine="0"/>
              <w:rPr>
                <w:rFonts w:ascii="Tahoma" w:eastAsia="Times New Roman" w:hAnsi="Tahoma" w:cs="Tahoma"/>
                <w:color w:val="444444"/>
                <w:sz w:val="20"/>
                <w:szCs w:val="20"/>
                <w:lang w:val="sl-SI" w:eastAsia="sl-SI" w:bidi="ar-SA"/>
              </w:rPr>
            </w:pP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5C2"/>
    <w:rsid w:val="001425C2"/>
    <w:rsid w:val="004257C8"/>
    <w:rsid w:val="00622C34"/>
    <w:rsid w:val="009D0883"/>
    <w:rsid w:val="00FD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character" w:customStyle="1" w:styleId="navadnicrnitext">
    <w:name w:val="navadni_crni_text"/>
    <w:basedOn w:val="Privzetapisavaodstavka"/>
    <w:rsid w:val="001425C2"/>
  </w:style>
  <w:style w:type="paragraph" w:customStyle="1" w:styleId="p">
    <w:name w:val="p"/>
    <w:basedOn w:val="Navaden"/>
    <w:rsid w:val="001425C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customStyle="1" w:styleId="apple-converted-space">
    <w:name w:val="apple-converted-space"/>
    <w:basedOn w:val="Privzetapisavaodstavka"/>
    <w:rsid w:val="001425C2"/>
  </w:style>
  <w:style w:type="character" w:styleId="Hiperpovezava">
    <w:name w:val="Hyperlink"/>
    <w:basedOn w:val="Privzetapisavaodstavka"/>
    <w:uiPriority w:val="99"/>
    <w:semiHidden/>
    <w:unhideWhenUsed/>
    <w:rsid w:val="001425C2"/>
    <w:rPr>
      <w:color w:val="0000FF"/>
      <w:u w:val="single"/>
    </w:rPr>
  </w:style>
  <w:style w:type="paragraph" w:customStyle="1" w:styleId="t">
    <w:name w:val="t"/>
    <w:basedOn w:val="Navaden"/>
    <w:rsid w:val="001425C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customStyle="1" w:styleId="h4">
    <w:name w:val="h4"/>
    <w:basedOn w:val="Navaden"/>
    <w:rsid w:val="001425C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vadensplet">
    <w:name w:val="Normal (Web)"/>
    <w:basedOn w:val="Navaden"/>
    <w:uiPriority w:val="99"/>
    <w:unhideWhenUsed/>
    <w:rsid w:val="001425C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customStyle="1" w:styleId="c1">
    <w:name w:val="c1"/>
    <w:basedOn w:val="Navaden"/>
    <w:rsid w:val="001425C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2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srs.si/Pis.web/pregledPredpisa?id=ZAKO515" TargetMode="External"/><Relationship Id="rId5" Type="http://schemas.openxmlformats.org/officeDocument/2006/relationships/hyperlink" Target="http://www.lex-localis.info/KatalogInformacij/PodrobnostiDokumenta.aspx?SectionID=ed936e8c-0dc7-4833-87e3-67519e67fec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2029</Words>
  <Characters>11566</Characters>
  <Application>Microsoft Office Word</Application>
  <DocSecurity>0</DocSecurity>
  <Lines>96</Lines>
  <Paragraphs>27</Paragraphs>
  <ScaleCrop>false</ScaleCrop>
  <Company/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2014-07-23T14:02:00Z</dcterms:created>
  <dcterms:modified xsi:type="dcterms:W3CDTF">2014-07-23T14:02:00Z</dcterms:modified>
</cp:coreProperties>
</file>