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0A" w:rsidRDefault="00DF4F0A" w:rsidP="0002620C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Finančni plan</w:t>
      </w:r>
    </w:p>
    <w:p w:rsidR="002C6C8C" w:rsidRPr="00DF4F0A" w:rsidRDefault="00DF4F0A" w:rsidP="0002620C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DF4F0A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Obravnava proračuna za leti 2022 in 202</w:t>
      </w:r>
      <w:r w:rsidR="00E2686B" w:rsidRPr="00DF4F0A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3</w:t>
      </w:r>
    </w:p>
    <w:p w:rsidR="002C6C8C" w:rsidRDefault="002C6C8C" w:rsidP="0002620C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</w:p>
    <w:p w:rsidR="00E2686B" w:rsidRDefault="0097488A" w:rsidP="00E2686B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5A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Občina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Vojnik je </w:t>
      </w:r>
      <w:r w:rsidR="00E2686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že drugič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pristopila k pripravi proračun</w:t>
      </w:r>
      <w:r w:rsidR="00DF4F0A">
        <w:rPr>
          <w:rFonts w:ascii="Times New Roman" w:eastAsia="Lucida Sans Unicode" w:hAnsi="Times New Roman" w:cs="Times New Roman"/>
          <w:kern w:val="1"/>
          <w:sz w:val="24"/>
          <w:szCs w:val="24"/>
        </w:rPr>
        <w:t>a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za dve leti</w:t>
      </w:r>
      <w:r w:rsidR="00E2686B">
        <w:rPr>
          <w:rFonts w:ascii="Times New Roman" w:eastAsia="Lucida Sans Unicode" w:hAnsi="Times New Roman" w:cs="Times New Roman"/>
          <w:kern w:val="1"/>
          <w:sz w:val="24"/>
          <w:szCs w:val="24"/>
        </w:rPr>
        <w:t>. Občinski svet Občine Vojnik je tako na 20. seji dne, 18. 11. 2021 obravnaval osnutek proračuna za leti 2022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in 202</w:t>
      </w:r>
      <w:r w:rsidR="00E2686B">
        <w:rPr>
          <w:rFonts w:ascii="Times New Roman" w:eastAsia="Lucida Sans Unicode" w:hAnsi="Times New Roman" w:cs="Times New Roman"/>
          <w:kern w:val="1"/>
          <w:sz w:val="24"/>
          <w:szCs w:val="24"/>
        </w:rPr>
        <w:t>3.</w:t>
      </w:r>
      <w:r w:rsidR="0061389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E2686B">
        <w:rPr>
          <w:rFonts w:ascii="Times New Roman" w:eastAsia="Lucida Sans Unicode" w:hAnsi="Times New Roman" w:cs="Times New Roman"/>
          <w:kern w:val="1"/>
          <w:sz w:val="24"/>
          <w:szCs w:val="24"/>
        </w:rPr>
        <w:t>Primerna poraba, ki je glavni vir financiranja občin</w:t>
      </w:r>
      <w:r w:rsidR="00613899">
        <w:rPr>
          <w:rFonts w:ascii="Times New Roman" w:eastAsia="Lucida Sans Unicode" w:hAnsi="Times New Roman" w:cs="Times New Roman"/>
          <w:kern w:val="1"/>
          <w:sz w:val="24"/>
          <w:szCs w:val="24"/>
        </w:rPr>
        <w:t>,</w:t>
      </w:r>
      <w:r w:rsidR="00E2686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je izračunana iz povprečnine. </w:t>
      </w:r>
      <w:r w:rsidR="00E2686B" w:rsidRPr="00AD3D32">
        <w:rPr>
          <w:rFonts w:ascii="Times New Roman" w:hAnsi="Times New Roman" w:cs="Times New Roman"/>
          <w:color w:val="000000"/>
          <w:sz w:val="24"/>
          <w:szCs w:val="24"/>
        </w:rPr>
        <w:t>Povprečnina za leto 202</w:t>
      </w:r>
      <w:r w:rsidR="00E268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686B" w:rsidRPr="00AD3D32">
        <w:rPr>
          <w:rFonts w:ascii="Times New Roman" w:hAnsi="Times New Roman" w:cs="Times New Roman"/>
          <w:color w:val="000000"/>
          <w:sz w:val="24"/>
          <w:szCs w:val="24"/>
        </w:rPr>
        <w:t xml:space="preserve"> znaša </w:t>
      </w:r>
      <w:r w:rsidR="00E2686B">
        <w:rPr>
          <w:rFonts w:ascii="Times New Roman" w:hAnsi="Times New Roman" w:cs="Times New Roman"/>
          <w:color w:val="000000"/>
          <w:sz w:val="24"/>
          <w:szCs w:val="24"/>
        </w:rPr>
        <w:t xml:space="preserve">645 </w:t>
      </w:r>
      <w:r w:rsidR="00E2686B" w:rsidRPr="00AD3D32">
        <w:rPr>
          <w:rFonts w:ascii="Times New Roman" w:hAnsi="Times New Roman" w:cs="Times New Roman"/>
          <w:color w:val="000000"/>
          <w:sz w:val="24"/>
          <w:szCs w:val="24"/>
        </w:rPr>
        <w:t>EUR in je za 1</w:t>
      </w:r>
      <w:r w:rsidR="00E2686B">
        <w:rPr>
          <w:rFonts w:ascii="Times New Roman" w:hAnsi="Times New Roman" w:cs="Times New Roman"/>
          <w:color w:val="000000"/>
          <w:sz w:val="24"/>
          <w:szCs w:val="24"/>
        </w:rPr>
        <w:t>6,8</w:t>
      </w:r>
      <w:r w:rsidR="00E2686B" w:rsidRPr="00AD3D32">
        <w:rPr>
          <w:rFonts w:ascii="Times New Roman" w:hAnsi="Times New Roman" w:cs="Times New Roman"/>
          <w:color w:val="000000"/>
          <w:sz w:val="24"/>
          <w:szCs w:val="24"/>
        </w:rPr>
        <w:t xml:space="preserve"> EUR višja kot v letu 20</w:t>
      </w:r>
      <w:r w:rsidR="00E2686B">
        <w:rPr>
          <w:rFonts w:ascii="Times New Roman" w:hAnsi="Times New Roman" w:cs="Times New Roman"/>
          <w:color w:val="000000"/>
          <w:sz w:val="24"/>
          <w:szCs w:val="24"/>
        </w:rPr>
        <w:t xml:space="preserve">21, v letu </w:t>
      </w:r>
      <w:r w:rsidR="00E2686B" w:rsidRPr="00AD3D3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2686B">
        <w:rPr>
          <w:rFonts w:ascii="Times New Roman" w:hAnsi="Times New Roman" w:cs="Times New Roman"/>
          <w:color w:val="000000"/>
          <w:sz w:val="24"/>
          <w:szCs w:val="24"/>
        </w:rPr>
        <w:t>3 pa</w:t>
      </w:r>
      <w:r w:rsidR="00E2686B" w:rsidRPr="00AD3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86B">
        <w:rPr>
          <w:rFonts w:ascii="Times New Roman" w:hAnsi="Times New Roman" w:cs="Times New Roman"/>
          <w:color w:val="000000"/>
          <w:sz w:val="24"/>
          <w:szCs w:val="24"/>
        </w:rPr>
        <w:t xml:space="preserve">je višja za 2 EUR v primerjavi z letim 2022 in </w:t>
      </w:r>
      <w:r w:rsidR="00E2686B" w:rsidRPr="00AD3D32">
        <w:rPr>
          <w:rFonts w:ascii="Times New Roman" w:hAnsi="Times New Roman" w:cs="Times New Roman"/>
          <w:color w:val="000000"/>
          <w:sz w:val="24"/>
          <w:szCs w:val="24"/>
        </w:rPr>
        <w:t xml:space="preserve">znaša </w:t>
      </w:r>
      <w:r w:rsidR="00E2686B">
        <w:rPr>
          <w:rFonts w:ascii="Times New Roman" w:hAnsi="Times New Roman" w:cs="Times New Roman"/>
          <w:color w:val="000000"/>
          <w:sz w:val="24"/>
          <w:szCs w:val="24"/>
        </w:rPr>
        <w:t>647 EUR</w:t>
      </w:r>
      <w:r w:rsidR="00E2686B" w:rsidRPr="00AD3D3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2686B">
        <w:rPr>
          <w:rFonts w:ascii="Times New Roman" w:hAnsi="Times New Roman" w:cs="Times New Roman"/>
          <w:color w:val="000000"/>
          <w:sz w:val="24"/>
          <w:szCs w:val="24"/>
        </w:rPr>
        <w:t xml:space="preserve"> Primerna poraba za Občino Vojnik ob upoštevanju števila prebivalcev (9.081 občanov na dan 1. 1. 2021), starostne strukture, dolžine cest in površine občine v letu 2022 znaša 6.010.000 EUR, v letu 2023 pa 6.029.000 EUR.</w:t>
      </w:r>
      <w:r w:rsidR="00E2686B" w:rsidRPr="00E268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86B">
        <w:rPr>
          <w:rFonts w:ascii="Times New Roman" w:hAnsi="Times New Roman" w:cs="Times New Roman"/>
          <w:color w:val="000000"/>
          <w:sz w:val="24"/>
          <w:szCs w:val="24"/>
        </w:rPr>
        <w:t>V osnutku proračuna so skupni prihodki planirani v letu 2022 v višini 11.322.000 EUR, odhodki pa v višini 11.414.000 EUR, v letu 2023 pa prihodki v višini 9.526.000 EUR ter odhodki v višini 10.117.000 EUR. Vsako leto je predvideno odplačilo dolgoročno najetih kreditov v višini 346.000 EUR.</w:t>
      </w:r>
    </w:p>
    <w:p w:rsidR="00E2686B" w:rsidRDefault="00E2686B" w:rsidP="00E2686B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3683" w:rsidRDefault="00263683" w:rsidP="002C6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50629586">
            <wp:extent cx="3794078" cy="459168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68" cy="4590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C8C" w:rsidRPr="00AB45AE" w:rsidRDefault="002C6C8C" w:rsidP="002C6C8C">
      <w:pPr>
        <w:rPr>
          <w:rFonts w:ascii="Times New Roman" w:hAnsi="Times New Roman" w:cs="Times New Roman"/>
        </w:rPr>
      </w:pPr>
      <w:r w:rsidRPr="00AB45AE">
        <w:rPr>
          <w:rFonts w:ascii="Times New Roman" w:hAnsi="Times New Roman" w:cs="Times New Roman"/>
        </w:rPr>
        <w:t>Graf: Struktura odhodkov v osnutku proračuna za leto 202</w:t>
      </w:r>
      <w:r w:rsidR="00263683">
        <w:rPr>
          <w:rFonts w:ascii="Times New Roman" w:hAnsi="Times New Roman" w:cs="Times New Roman"/>
        </w:rPr>
        <w:t>2</w:t>
      </w:r>
      <w:r w:rsidRPr="00AB45AE">
        <w:rPr>
          <w:rFonts w:ascii="Times New Roman" w:hAnsi="Times New Roman" w:cs="Times New Roman"/>
        </w:rPr>
        <w:t xml:space="preserve"> po proračunskih uporabnikih</w:t>
      </w:r>
    </w:p>
    <w:p w:rsidR="00263683" w:rsidRDefault="00263683" w:rsidP="002C6C8C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88A" w:rsidRDefault="00A61766" w:rsidP="002C6C8C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 leti sta </w:t>
      </w:r>
      <w:r w:rsidR="00EF7A55">
        <w:rPr>
          <w:rFonts w:ascii="Times New Roman" w:hAnsi="Times New Roman" w:cs="Times New Roman"/>
          <w:color w:val="000000"/>
          <w:sz w:val="24"/>
          <w:szCs w:val="24"/>
        </w:rPr>
        <w:t>investicijsko naravnani, v letu 202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F7A55">
        <w:rPr>
          <w:rFonts w:ascii="Times New Roman" w:hAnsi="Times New Roman" w:cs="Times New Roman"/>
          <w:color w:val="000000"/>
          <w:sz w:val="24"/>
          <w:szCs w:val="24"/>
        </w:rPr>
        <w:t xml:space="preserve"> znaša delež za inve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>sticijske odhodke in transfere 45</w:t>
      </w:r>
      <w:r w:rsidR="00EF7A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>4%, v letu 2023</w:t>
      </w:r>
      <w:r w:rsidR="00EF7A55">
        <w:rPr>
          <w:rFonts w:ascii="Times New Roman" w:hAnsi="Times New Roman" w:cs="Times New Roman"/>
          <w:color w:val="000000"/>
          <w:sz w:val="24"/>
          <w:szCs w:val="24"/>
        </w:rPr>
        <w:t xml:space="preserve"> pa ta znaša 3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F7A55">
        <w:rPr>
          <w:rFonts w:ascii="Times New Roman" w:hAnsi="Times New Roman" w:cs="Times New Roman"/>
          <w:color w:val="000000"/>
          <w:sz w:val="24"/>
          <w:szCs w:val="24"/>
        </w:rPr>
        <w:t xml:space="preserve">%. 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 xml:space="preserve">Največ investicij je na področju komunale, tako pri investicijskem vzdrževanju cest, izgradnji kanalizacij (Ivenca, Razdelj, Višnja vas, 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Gmajna), obnovi vodovodnih sistemov ter novogradnji vodovodov (Lindek, Selce).  </w:t>
      </w:r>
      <w:r w:rsidR="002C059A">
        <w:rPr>
          <w:rFonts w:ascii="Times New Roman" w:hAnsi="Times New Roman" w:cs="Times New Roman"/>
          <w:color w:val="000000"/>
          <w:sz w:val="24"/>
          <w:szCs w:val="24"/>
        </w:rPr>
        <w:t xml:space="preserve">Proračuna v fazi obravnave osnutka še nista bila uravnotežena, </w:t>
      </w:r>
      <w:r w:rsidR="0097488A">
        <w:rPr>
          <w:rFonts w:ascii="Times New Roman" w:hAnsi="Times New Roman" w:cs="Times New Roman"/>
          <w:color w:val="000000"/>
          <w:sz w:val="24"/>
          <w:szCs w:val="24"/>
        </w:rPr>
        <w:t>kar pa je predvideno z oceno ostanka sre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>dstev na računu na dan 31.</w:t>
      </w:r>
      <w:r w:rsidR="00613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613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97488A">
        <w:rPr>
          <w:rFonts w:ascii="Times New Roman" w:hAnsi="Times New Roman" w:cs="Times New Roman"/>
          <w:color w:val="000000"/>
          <w:sz w:val="24"/>
          <w:szCs w:val="24"/>
        </w:rPr>
        <w:t xml:space="preserve">. Druga obravnava je predvidena na naslednji seji občinskega sveta, ki bo 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>21.</w:t>
      </w:r>
      <w:r w:rsidR="00613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613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683">
        <w:rPr>
          <w:rFonts w:ascii="Times New Roman" w:hAnsi="Times New Roman" w:cs="Times New Roman"/>
          <w:color w:val="000000"/>
          <w:sz w:val="24"/>
          <w:szCs w:val="24"/>
        </w:rPr>
        <w:t xml:space="preserve">2021, kjer se bo obravnaval tudi rebalans proračuna za leto 2021. </w:t>
      </w:r>
      <w:r w:rsidR="00974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6C8C" w:rsidRDefault="002C6C8C" w:rsidP="002C6C8C">
      <w:pPr>
        <w:widowControl w:val="0"/>
        <w:suppressAutoHyphens/>
        <w:spacing w:after="0"/>
        <w:jc w:val="both"/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Pripravila: Irena Špegel Jovan</w:t>
      </w:r>
      <w:r w:rsidR="0097488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="00DF4F0A">
        <w:rPr>
          <w:rFonts w:ascii="Times New Roman" w:eastAsia="Lucida Sans Unicode" w:hAnsi="Times New Roman" w:cs="Times New Roman"/>
          <w:kern w:val="1"/>
          <w:sz w:val="24"/>
          <w:szCs w:val="24"/>
        </w:rPr>
        <w:t>p</w:t>
      </w:r>
      <w:r w:rsidR="0097488A">
        <w:rPr>
          <w:rFonts w:ascii="Times New Roman" w:eastAsia="Lucida Sans Unicode" w:hAnsi="Times New Roman" w:cs="Times New Roman"/>
          <w:kern w:val="1"/>
          <w:sz w:val="24"/>
          <w:szCs w:val="24"/>
        </w:rPr>
        <w:t>odsekretarka za finance in proračun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</w:p>
    <w:sectPr w:rsidR="002C6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0C"/>
    <w:rsid w:val="0002620C"/>
    <w:rsid w:val="00137559"/>
    <w:rsid w:val="00263683"/>
    <w:rsid w:val="002C059A"/>
    <w:rsid w:val="002C6C8C"/>
    <w:rsid w:val="002D59E8"/>
    <w:rsid w:val="003078CF"/>
    <w:rsid w:val="00613899"/>
    <w:rsid w:val="006371D5"/>
    <w:rsid w:val="007A4F0B"/>
    <w:rsid w:val="009176B8"/>
    <w:rsid w:val="0097488A"/>
    <w:rsid w:val="00A61766"/>
    <w:rsid w:val="00AB35D0"/>
    <w:rsid w:val="00AB45AE"/>
    <w:rsid w:val="00AD3D32"/>
    <w:rsid w:val="00CC5F5C"/>
    <w:rsid w:val="00CE7047"/>
    <w:rsid w:val="00DF4F0A"/>
    <w:rsid w:val="00E2686B"/>
    <w:rsid w:val="00EF7A55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OV-PR005</dc:creator>
  <cp:lastModifiedBy>LEA</cp:lastModifiedBy>
  <cp:revision>2</cp:revision>
  <cp:lastPrinted>2021-11-16T08:27:00Z</cp:lastPrinted>
  <dcterms:created xsi:type="dcterms:W3CDTF">2021-11-22T10:52:00Z</dcterms:created>
  <dcterms:modified xsi:type="dcterms:W3CDTF">2021-11-22T10:52:00Z</dcterms:modified>
</cp:coreProperties>
</file>