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5F" w:rsidRPr="002436A8" w:rsidRDefault="002436A8" w:rsidP="00EF227E">
      <w:pPr>
        <w:spacing w:before="240" w:after="0" w:line="260" w:lineRule="atLeast"/>
        <w:rPr>
          <w:b/>
          <w:sz w:val="28"/>
          <w:szCs w:val="28"/>
        </w:rPr>
      </w:pPr>
      <w:bookmarkStart w:id="0" w:name="_GoBack"/>
      <w:bookmarkEnd w:id="0"/>
      <w:r w:rsidRPr="002436A8">
        <w:rPr>
          <w:b/>
          <w:sz w:val="28"/>
          <w:szCs w:val="28"/>
        </w:rPr>
        <w:t xml:space="preserve">Poslovanje v </w:t>
      </w:r>
      <w:r w:rsidR="000E14C3">
        <w:rPr>
          <w:b/>
          <w:sz w:val="28"/>
          <w:szCs w:val="28"/>
        </w:rPr>
        <w:t>savinjski</w:t>
      </w:r>
      <w:r w:rsidR="00142317" w:rsidRPr="002436A8">
        <w:rPr>
          <w:b/>
          <w:sz w:val="28"/>
          <w:szCs w:val="28"/>
        </w:rPr>
        <w:t xml:space="preserve"> regij</w:t>
      </w:r>
      <w:r w:rsidRPr="002436A8">
        <w:rPr>
          <w:b/>
          <w:sz w:val="28"/>
          <w:szCs w:val="28"/>
        </w:rPr>
        <w:t>i v 20</w:t>
      </w:r>
      <w:r w:rsidR="000E14C3">
        <w:rPr>
          <w:b/>
          <w:sz w:val="28"/>
          <w:szCs w:val="28"/>
        </w:rPr>
        <w:t>20</w:t>
      </w:r>
    </w:p>
    <w:p w:rsidR="00A51E63" w:rsidRPr="00A51E63" w:rsidRDefault="00A51E63" w:rsidP="002436A8">
      <w:pPr>
        <w:spacing w:before="240" w:after="0" w:line="260" w:lineRule="atLeast"/>
        <w:rPr>
          <w:b/>
          <w:sz w:val="24"/>
          <w:szCs w:val="24"/>
        </w:rPr>
      </w:pPr>
      <w:r w:rsidRPr="00A51E63">
        <w:rPr>
          <w:b/>
          <w:sz w:val="24"/>
          <w:szCs w:val="24"/>
        </w:rPr>
        <w:t>G</w:t>
      </w:r>
      <w:r w:rsidR="002436A8">
        <w:rPr>
          <w:b/>
          <w:sz w:val="24"/>
          <w:szCs w:val="24"/>
        </w:rPr>
        <w:t>ospodarske družbe</w:t>
      </w:r>
    </w:p>
    <w:p w:rsidR="00AC4F8F" w:rsidRDefault="000A2C53" w:rsidP="002436A8">
      <w:pPr>
        <w:spacing w:before="240" w:after="0" w:line="260" w:lineRule="atLeast"/>
        <w:jc w:val="both"/>
        <w:rPr>
          <w:rFonts w:cs="Calibri"/>
        </w:rPr>
      </w:pPr>
      <w:r>
        <w:rPr>
          <w:rFonts w:cs="Calibri"/>
        </w:rPr>
        <w:t xml:space="preserve">Gospodarske </w:t>
      </w:r>
      <w:r w:rsidR="000663A0">
        <w:rPr>
          <w:rFonts w:cs="Calibri"/>
        </w:rPr>
        <w:t>družbe</w:t>
      </w:r>
      <w:r w:rsidR="00AC4F8F" w:rsidRPr="00AC4F8F">
        <w:rPr>
          <w:rFonts w:cs="Calibri"/>
        </w:rPr>
        <w:t xml:space="preserve"> savinjske regije</w:t>
      </w:r>
      <w:r>
        <w:rPr>
          <w:rFonts w:cs="Calibri"/>
        </w:rPr>
        <w:t xml:space="preserve"> so</w:t>
      </w:r>
      <w:r w:rsidR="00AC4F8F" w:rsidRPr="00AC4F8F">
        <w:rPr>
          <w:rFonts w:cs="Calibri"/>
        </w:rPr>
        <w:t xml:space="preserve"> </w:t>
      </w:r>
      <w:r w:rsidR="000663A0">
        <w:rPr>
          <w:rFonts w:cs="Calibri"/>
        </w:rPr>
        <w:t xml:space="preserve">v letu </w:t>
      </w:r>
      <w:r w:rsidR="00AC4F8F" w:rsidRPr="00AC4F8F">
        <w:rPr>
          <w:rFonts w:cs="Calibri"/>
        </w:rPr>
        <w:t>2020</w:t>
      </w:r>
      <w:r>
        <w:rPr>
          <w:rFonts w:cs="Calibri"/>
        </w:rPr>
        <w:t xml:space="preserve"> </w:t>
      </w:r>
      <w:r w:rsidR="00492344">
        <w:rPr>
          <w:rFonts w:cs="Calibri"/>
        </w:rPr>
        <w:t>k</w:t>
      </w:r>
      <w:r>
        <w:rPr>
          <w:rFonts w:cs="Calibri"/>
        </w:rPr>
        <w:t>ljub oteženim gospodarskim razmeram zaradi epidemije koronavirusa</w:t>
      </w:r>
      <w:r w:rsidR="000663A0">
        <w:rPr>
          <w:rFonts w:cs="Calibri"/>
        </w:rPr>
        <w:t xml:space="preserve"> </w:t>
      </w:r>
      <w:r w:rsidR="00036590">
        <w:rPr>
          <w:rFonts w:cs="Calibri"/>
        </w:rPr>
        <w:t xml:space="preserve">uspele </w:t>
      </w:r>
      <w:r w:rsidR="00C93D1C">
        <w:rPr>
          <w:rFonts w:cs="Calibri"/>
        </w:rPr>
        <w:t>obdržati</w:t>
      </w:r>
      <w:r w:rsidR="000663A0">
        <w:rPr>
          <w:rFonts w:cs="Calibri"/>
        </w:rPr>
        <w:t xml:space="preserve"> enako raven</w:t>
      </w:r>
      <w:r w:rsidR="00AC4F8F" w:rsidRPr="00AC4F8F">
        <w:rPr>
          <w:rFonts w:cs="Calibri"/>
        </w:rPr>
        <w:t xml:space="preserve"> obsega prihodkov </w:t>
      </w:r>
      <w:r w:rsidR="000663A0">
        <w:rPr>
          <w:rFonts w:cs="Calibri"/>
        </w:rPr>
        <w:t>kot v</w:t>
      </w:r>
      <w:r w:rsidR="00AC4F8F" w:rsidRPr="00AC4F8F">
        <w:rPr>
          <w:rFonts w:cs="Calibri"/>
        </w:rPr>
        <w:t xml:space="preserve"> let</w:t>
      </w:r>
      <w:r w:rsidR="000663A0">
        <w:rPr>
          <w:rFonts w:cs="Calibri"/>
        </w:rPr>
        <w:t>u</w:t>
      </w:r>
      <w:r w:rsidR="00AC4F8F" w:rsidRPr="00AC4F8F">
        <w:rPr>
          <w:rFonts w:cs="Calibri"/>
        </w:rPr>
        <w:t xml:space="preserve"> prej</w:t>
      </w:r>
      <w:r w:rsidR="000663A0">
        <w:rPr>
          <w:rFonts w:cs="Calibri"/>
        </w:rPr>
        <w:t>.</w:t>
      </w:r>
      <w:r w:rsidR="00AC4F8F" w:rsidRPr="00AC4F8F">
        <w:rPr>
          <w:rFonts w:cs="Calibri"/>
        </w:rPr>
        <w:t xml:space="preserve"> Padec prihodkov od prodaje na domačem trgu </w:t>
      </w:r>
      <w:r w:rsidR="00441D68">
        <w:rPr>
          <w:rFonts w:cs="Calibri"/>
        </w:rPr>
        <w:t xml:space="preserve">(- 4 %) </w:t>
      </w:r>
      <w:r w:rsidR="00AC4F8F" w:rsidRPr="00AC4F8F">
        <w:rPr>
          <w:rFonts w:cs="Calibri"/>
        </w:rPr>
        <w:t>so nadomestile z rastjo prihodkov na tujem trgu</w:t>
      </w:r>
      <w:r w:rsidR="00441D68">
        <w:rPr>
          <w:rFonts w:cs="Calibri"/>
        </w:rPr>
        <w:t xml:space="preserve"> (+ 5 %)</w:t>
      </w:r>
      <w:r w:rsidR="00AC4F8F" w:rsidRPr="00AC4F8F">
        <w:rPr>
          <w:rFonts w:cs="Calibri"/>
        </w:rPr>
        <w:t xml:space="preserve">. </w:t>
      </w:r>
      <w:r w:rsidR="00D32C86">
        <w:rPr>
          <w:rFonts w:cs="Calibri"/>
        </w:rPr>
        <w:t>Najbolj je bilo prizadeto gostinstvo, kjer so</w:t>
      </w:r>
      <w:r w:rsidR="00CC6F6E">
        <w:rPr>
          <w:rFonts w:cs="Calibri"/>
        </w:rPr>
        <w:t xml:space="preserve"> se prihodki od prodaje zmanjšali za slabo tretjino. </w:t>
      </w:r>
      <w:r w:rsidR="00D74C57">
        <w:rPr>
          <w:rFonts w:cs="Calibri"/>
        </w:rPr>
        <w:t xml:space="preserve">Čisti dobiček </w:t>
      </w:r>
      <w:r w:rsidR="00036590">
        <w:rPr>
          <w:rFonts w:cs="Calibri"/>
        </w:rPr>
        <w:t xml:space="preserve">regije </w:t>
      </w:r>
      <w:r w:rsidR="00D74C57">
        <w:rPr>
          <w:rFonts w:cs="Calibri"/>
        </w:rPr>
        <w:t xml:space="preserve">se je zmanjšal za </w:t>
      </w:r>
      <w:r w:rsidR="00AC4F8F" w:rsidRPr="00AC4F8F">
        <w:rPr>
          <w:rFonts w:cs="Calibri"/>
        </w:rPr>
        <w:t>desetino</w:t>
      </w:r>
      <w:r w:rsidR="00D74C57">
        <w:rPr>
          <w:rFonts w:cs="Calibri"/>
        </w:rPr>
        <w:t>,</w:t>
      </w:r>
      <w:r w:rsidR="00AC4F8F" w:rsidRPr="00AC4F8F">
        <w:rPr>
          <w:rFonts w:cs="Calibri"/>
        </w:rPr>
        <w:t xml:space="preserve"> čista izguba</w:t>
      </w:r>
      <w:r w:rsidR="00D74C57">
        <w:rPr>
          <w:rFonts w:cs="Calibri"/>
        </w:rPr>
        <w:t xml:space="preserve"> se je potrojila</w:t>
      </w:r>
      <w:r w:rsidR="00D32C86">
        <w:rPr>
          <w:rFonts w:cs="Calibri"/>
        </w:rPr>
        <w:t xml:space="preserve"> in tako je</w:t>
      </w:r>
      <w:r w:rsidR="00AC4F8F" w:rsidRPr="00AC4F8F">
        <w:rPr>
          <w:rFonts w:cs="Calibri"/>
        </w:rPr>
        <w:t xml:space="preserve"> regija</w:t>
      </w:r>
      <w:r w:rsidR="00D74C57">
        <w:rPr>
          <w:rFonts w:cs="Calibri"/>
        </w:rPr>
        <w:t xml:space="preserve"> </w:t>
      </w:r>
      <w:r w:rsidR="00AC4F8F" w:rsidRPr="00AC4F8F">
        <w:rPr>
          <w:rFonts w:cs="Calibri"/>
        </w:rPr>
        <w:t>prvič po letu 2015 pristala v rdečih številkah.</w:t>
      </w:r>
      <w:r w:rsidR="00AC4F8F">
        <w:rPr>
          <w:rFonts w:cs="Calibri"/>
        </w:rPr>
        <w:t xml:space="preserve"> </w:t>
      </w:r>
      <w:r w:rsidR="00AC4F8F" w:rsidRPr="00B81BD3">
        <w:rPr>
          <w:rFonts w:cs="Calibri"/>
        </w:rPr>
        <w:t>Vendarle pa podrobnejši pregled postavk poslovanja ne kaže na slabše obvladovanje stroškov iz naslova poslovanja (blaga, materiala, storitev in dela), temveč na izvor izgube iz naslova večjega prevrednotenja sredstev.</w:t>
      </w:r>
    </w:p>
    <w:p w:rsidR="00AC4F8F" w:rsidRDefault="00AC4F8F" w:rsidP="002436A8">
      <w:pPr>
        <w:spacing w:before="240" w:after="0" w:line="260" w:lineRule="atLeast"/>
        <w:jc w:val="both"/>
        <w:rPr>
          <w:rFonts w:cs="Calibri"/>
        </w:rPr>
      </w:pPr>
      <w:r w:rsidRPr="00255E75">
        <w:rPr>
          <w:rFonts w:cs="Calibri"/>
        </w:rPr>
        <w:t>Trg dela je lani v</w:t>
      </w:r>
      <w:r>
        <w:rPr>
          <w:rFonts w:cs="Calibri"/>
        </w:rPr>
        <w:t xml:space="preserve"> savinjski </w:t>
      </w:r>
      <w:r w:rsidRPr="00255E75">
        <w:rPr>
          <w:rFonts w:cs="Calibri"/>
        </w:rPr>
        <w:t>regiji doživel hud udarec, saj se je število zaposlenih pri družbah zmanjšalo za skoraj 1.600</w:t>
      </w:r>
      <w:r>
        <w:rPr>
          <w:rFonts w:cs="Calibri"/>
        </w:rPr>
        <w:t xml:space="preserve"> </w:t>
      </w:r>
      <w:r w:rsidRPr="00255E75">
        <w:rPr>
          <w:rFonts w:cs="Calibri"/>
        </w:rPr>
        <w:t>oseb</w:t>
      </w:r>
      <w:r>
        <w:rPr>
          <w:rFonts w:cs="Calibri"/>
        </w:rPr>
        <w:t>.</w:t>
      </w:r>
      <w:r w:rsidRPr="00255E75">
        <w:rPr>
          <w:rFonts w:cs="Calibri"/>
        </w:rPr>
        <w:t xml:space="preserve"> Na izrazit padec števila zaposlenih je vplivalo predvsem odpuščanje v predelovalni dejavnosti, nekoliko pa tudi krč zaradi epidemije koronavirusa v gostinstvu. Spodbudnejšo sliko beležimo v gradbeništvu ter dejavnosti prometa in skladiščenja, kjer je lani v vsaki </w:t>
      </w:r>
      <w:r>
        <w:rPr>
          <w:rFonts w:cs="Calibri"/>
        </w:rPr>
        <w:t xml:space="preserve">od njih </w:t>
      </w:r>
      <w:r w:rsidRPr="00255E75">
        <w:rPr>
          <w:rFonts w:cs="Calibri"/>
        </w:rPr>
        <w:t>našlo novo zaposlitev okrog 260 oseb.</w:t>
      </w:r>
    </w:p>
    <w:p w:rsidR="00142317" w:rsidRPr="00142317" w:rsidRDefault="00142317" w:rsidP="00EF227E">
      <w:pPr>
        <w:spacing w:before="240" w:after="120" w:line="260" w:lineRule="atLeast"/>
        <w:rPr>
          <w:rFonts w:cs="Calibri"/>
          <w:b/>
          <w:szCs w:val="24"/>
        </w:rPr>
      </w:pPr>
      <w:r w:rsidRPr="00142317">
        <w:rPr>
          <w:rFonts w:cs="Calibri"/>
          <w:b/>
          <w:szCs w:val="24"/>
        </w:rPr>
        <w:t xml:space="preserve">Gospodarska moč družb </w:t>
      </w:r>
      <w:r w:rsidR="000E14C3">
        <w:rPr>
          <w:rFonts w:cs="Calibri"/>
          <w:b/>
          <w:szCs w:val="24"/>
        </w:rPr>
        <w:t>savinjske</w:t>
      </w:r>
      <w:r w:rsidRPr="00142317">
        <w:rPr>
          <w:rFonts w:cs="Calibri"/>
          <w:b/>
          <w:szCs w:val="24"/>
        </w:rPr>
        <w:t xml:space="preserve"> regije</w:t>
      </w:r>
    </w:p>
    <w:tbl>
      <w:tblPr>
        <w:tblStyle w:val="GridTable4Accent1"/>
        <w:tblW w:w="0" w:type="auto"/>
        <w:tblLook w:val="0420" w:firstRow="1" w:lastRow="0" w:firstColumn="0" w:lastColumn="0" w:noHBand="0" w:noVBand="1"/>
      </w:tblPr>
      <w:tblGrid>
        <w:gridCol w:w="2478"/>
        <w:gridCol w:w="663"/>
        <w:gridCol w:w="1342"/>
        <w:gridCol w:w="1343"/>
        <w:gridCol w:w="1342"/>
        <w:gridCol w:w="1343"/>
        <w:gridCol w:w="1343"/>
      </w:tblGrid>
      <w:tr w:rsidR="00472ADE" w:rsidRPr="00742DC3" w:rsidTr="00064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915" w:type="dxa"/>
            <w:gridSpan w:val="2"/>
            <w:tcBorders>
              <w:right w:val="single" w:sz="4" w:space="0" w:color="FFFFFF" w:themeColor="background1"/>
            </w:tcBorders>
            <w:shd w:val="clear" w:color="auto" w:fill="0077C8"/>
          </w:tcPr>
          <w:p w:rsidR="00472ADE" w:rsidRPr="00742DC3" w:rsidRDefault="00472ADE" w:rsidP="00CC6F6E">
            <w:pPr>
              <w:spacing w:line="260" w:lineRule="atLeast"/>
              <w:rPr>
                <w:rFonts w:cs="Calibri"/>
              </w:rPr>
            </w:pP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Pr="00742DC3" w:rsidRDefault="00472ADE" w:rsidP="00CC6F6E">
            <w:pPr>
              <w:spacing w:line="260" w:lineRule="atLeast"/>
              <w:jc w:val="center"/>
              <w:rPr>
                <w:rFonts w:cs="Calibri"/>
              </w:rPr>
            </w:pPr>
            <w:r w:rsidRPr="00742DC3">
              <w:rPr>
                <w:rFonts w:cs="Calibri"/>
              </w:rPr>
              <w:t>Št</w:t>
            </w:r>
            <w:r>
              <w:rPr>
                <w:rFonts w:cs="Calibri"/>
              </w:rPr>
              <w:t>evilo</w:t>
            </w:r>
            <w:r w:rsidRPr="00742DC3">
              <w:rPr>
                <w:rFonts w:cs="Calibri"/>
              </w:rPr>
              <w:t xml:space="preserve"> družb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Pr="00742DC3" w:rsidRDefault="00472ADE" w:rsidP="00CC6F6E">
            <w:pPr>
              <w:spacing w:line="260" w:lineRule="atLeast"/>
              <w:jc w:val="center"/>
              <w:rPr>
                <w:rFonts w:cs="Calibri"/>
              </w:rPr>
            </w:pPr>
            <w:r w:rsidRPr="00742DC3">
              <w:rPr>
                <w:rFonts w:cs="Calibri"/>
              </w:rPr>
              <w:t>Št</w:t>
            </w:r>
            <w:r>
              <w:rPr>
                <w:rFonts w:cs="Calibri"/>
              </w:rPr>
              <w:t>evilo</w:t>
            </w:r>
            <w:r w:rsidRPr="00742DC3">
              <w:rPr>
                <w:rFonts w:cs="Calibri"/>
              </w:rPr>
              <w:t xml:space="preserve"> zaposlenih</w:t>
            </w: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CC6F6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Prihodki</w:t>
            </w:r>
          </w:p>
          <w:p w:rsidR="00472ADE" w:rsidRPr="00EF227E" w:rsidRDefault="00472ADE" w:rsidP="00CC6F6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CC6F6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Prihodki tuj</w:t>
            </w:r>
            <w:r>
              <w:rPr>
                <w:rFonts w:cs="Calibri"/>
              </w:rPr>
              <w:t>i</w:t>
            </w:r>
            <w:r w:rsidRPr="00742DC3">
              <w:rPr>
                <w:rFonts w:cs="Calibri"/>
              </w:rPr>
              <w:t xml:space="preserve"> trg</w:t>
            </w:r>
          </w:p>
          <w:p w:rsidR="00472ADE" w:rsidRPr="00EF227E" w:rsidRDefault="00472ADE" w:rsidP="00CC6F6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CC6F6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Neto čist</w:t>
            </w:r>
            <w:r w:rsidR="00AC4F8F">
              <w:rPr>
                <w:rFonts w:cs="Calibri"/>
              </w:rPr>
              <w:t>a izguba</w:t>
            </w:r>
            <w:r w:rsidR="00D55807">
              <w:rPr>
                <w:rFonts w:cs="Calibri"/>
              </w:rPr>
              <w:t>*</w:t>
            </w:r>
          </w:p>
          <w:p w:rsidR="00472ADE" w:rsidRPr="00EF227E" w:rsidRDefault="00472ADE" w:rsidP="00CC6F6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</w:tr>
      <w:tr w:rsidR="003B5057" w:rsidRPr="00742DC3" w:rsidTr="00064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915" w:type="dxa"/>
            <w:gridSpan w:val="2"/>
            <w:vAlign w:val="center"/>
          </w:tcPr>
          <w:p w:rsidR="003B5057" w:rsidRPr="00472ADE" w:rsidRDefault="003B5057" w:rsidP="00CC6F6E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Savinjska</w:t>
            </w:r>
            <w:r w:rsidRPr="00472ADE">
              <w:rPr>
                <w:rFonts w:cs="Calibri"/>
                <w:b/>
              </w:rPr>
              <w:t xml:space="preserve"> regija 2020</w:t>
            </w:r>
          </w:p>
        </w:tc>
        <w:tc>
          <w:tcPr>
            <w:tcW w:w="1342" w:type="dxa"/>
            <w:vAlign w:val="center"/>
            <w:hideMark/>
          </w:tcPr>
          <w:p w:rsidR="003B5057" w:rsidRPr="00CB3529" w:rsidRDefault="003B5057" w:rsidP="00CC6F6E">
            <w:pPr>
              <w:spacing w:line="260" w:lineRule="atLeast"/>
              <w:jc w:val="right"/>
            </w:pPr>
            <w:r w:rsidRPr="00CB3529">
              <w:t>6.840</w:t>
            </w:r>
          </w:p>
        </w:tc>
        <w:tc>
          <w:tcPr>
            <w:tcW w:w="1343" w:type="dxa"/>
            <w:vAlign w:val="center"/>
            <w:hideMark/>
          </w:tcPr>
          <w:p w:rsidR="003B5057" w:rsidRPr="00CB3529" w:rsidRDefault="003B5057" w:rsidP="00CC6F6E">
            <w:pPr>
              <w:spacing w:line="260" w:lineRule="atLeast"/>
              <w:jc w:val="right"/>
            </w:pPr>
            <w:r w:rsidRPr="00CB3529">
              <w:t>60.525</w:t>
            </w:r>
          </w:p>
        </w:tc>
        <w:tc>
          <w:tcPr>
            <w:tcW w:w="1342" w:type="dxa"/>
            <w:vAlign w:val="center"/>
            <w:hideMark/>
          </w:tcPr>
          <w:p w:rsidR="003B5057" w:rsidRPr="00CB3529" w:rsidRDefault="003B5057" w:rsidP="00CC6F6E">
            <w:pPr>
              <w:spacing w:line="260" w:lineRule="atLeast"/>
              <w:jc w:val="right"/>
            </w:pPr>
            <w:r w:rsidRPr="00CB3529">
              <w:t>9.660</w:t>
            </w:r>
          </w:p>
        </w:tc>
        <w:tc>
          <w:tcPr>
            <w:tcW w:w="1343" w:type="dxa"/>
            <w:vAlign w:val="center"/>
            <w:hideMark/>
          </w:tcPr>
          <w:p w:rsidR="003B5057" w:rsidRPr="00CB3529" w:rsidRDefault="003B5057" w:rsidP="00CC6F6E">
            <w:pPr>
              <w:spacing w:line="260" w:lineRule="atLeast"/>
              <w:jc w:val="right"/>
            </w:pPr>
            <w:r w:rsidRPr="00CB3529">
              <w:t>4.208</w:t>
            </w:r>
          </w:p>
        </w:tc>
        <w:tc>
          <w:tcPr>
            <w:tcW w:w="1343" w:type="dxa"/>
            <w:vAlign w:val="center"/>
            <w:hideMark/>
          </w:tcPr>
          <w:p w:rsidR="003B5057" w:rsidRDefault="003B5057" w:rsidP="00CC6F6E">
            <w:pPr>
              <w:spacing w:line="260" w:lineRule="atLeast"/>
              <w:jc w:val="right"/>
            </w:pPr>
            <w:r w:rsidRPr="00CB3529">
              <w:t>-59</w:t>
            </w:r>
          </w:p>
        </w:tc>
      </w:tr>
      <w:tr w:rsidR="00472ADE" w:rsidRPr="00D84B8B" w:rsidTr="00064BD9">
        <w:trPr>
          <w:trHeight w:val="397"/>
        </w:trPr>
        <w:tc>
          <w:tcPr>
            <w:tcW w:w="0" w:type="auto"/>
            <w:vMerge w:val="restart"/>
            <w:vAlign w:val="center"/>
          </w:tcPr>
          <w:p w:rsidR="00472ADE" w:rsidRPr="00D84B8B" w:rsidRDefault="00472ADE" w:rsidP="00CC6F6E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Delež </w:t>
            </w:r>
            <w:r w:rsidR="000E14C3">
              <w:rPr>
                <w:rFonts w:cs="Calibri"/>
                <w:b/>
              </w:rPr>
              <w:t>savinjske</w:t>
            </w:r>
            <w:r>
              <w:rPr>
                <w:rFonts w:cs="Calibri"/>
                <w:b/>
              </w:rPr>
              <w:t xml:space="preserve"> regije v Sloveniji (v %)</w:t>
            </w:r>
          </w:p>
        </w:tc>
        <w:tc>
          <w:tcPr>
            <w:tcW w:w="663" w:type="dxa"/>
            <w:vAlign w:val="center"/>
            <w:hideMark/>
          </w:tcPr>
          <w:p w:rsidR="00472ADE" w:rsidRPr="00D84B8B" w:rsidRDefault="00472ADE" w:rsidP="00CC6F6E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2019</w:t>
            </w:r>
          </w:p>
        </w:tc>
        <w:tc>
          <w:tcPr>
            <w:tcW w:w="1342" w:type="dxa"/>
            <w:vAlign w:val="center"/>
            <w:hideMark/>
          </w:tcPr>
          <w:p w:rsidR="00472ADE" w:rsidRPr="00472ADE" w:rsidRDefault="000E14C3" w:rsidP="00CC6F6E">
            <w:pPr>
              <w:spacing w:line="260" w:lineRule="atLeast"/>
              <w:jc w:val="right"/>
              <w:rPr>
                <w:rFonts w:cs="Calibri"/>
              </w:rPr>
            </w:pPr>
            <w:r>
              <w:rPr>
                <w:rFonts w:cs="Calibri"/>
              </w:rPr>
              <w:t>10,1</w:t>
            </w:r>
          </w:p>
        </w:tc>
        <w:tc>
          <w:tcPr>
            <w:tcW w:w="1343" w:type="dxa"/>
            <w:vAlign w:val="center"/>
            <w:hideMark/>
          </w:tcPr>
          <w:p w:rsidR="00472ADE" w:rsidRPr="00472ADE" w:rsidRDefault="000E14C3" w:rsidP="00CC6F6E">
            <w:pPr>
              <w:spacing w:line="260" w:lineRule="atLeast"/>
              <w:jc w:val="right"/>
              <w:rPr>
                <w:rFonts w:cs="Calibri"/>
              </w:rPr>
            </w:pPr>
            <w:r>
              <w:rPr>
                <w:rFonts w:cs="Calibri"/>
              </w:rPr>
              <w:t>12,2</w:t>
            </w:r>
          </w:p>
        </w:tc>
        <w:tc>
          <w:tcPr>
            <w:tcW w:w="1342" w:type="dxa"/>
            <w:vAlign w:val="center"/>
            <w:hideMark/>
          </w:tcPr>
          <w:p w:rsidR="00472ADE" w:rsidRPr="00472ADE" w:rsidRDefault="000E14C3" w:rsidP="00CC6F6E">
            <w:pPr>
              <w:spacing w:line="260" w:lineRule="atLeast"/>
              <w:jc w:val="right"/>
              <w:rPr>
                <w:rFonts w:cs="Calibri"/>
              </w:rPr>
            </w:pPr>
            <w:r>
              <w:rPr>
                <w:rFonts w:cs="Calibri"/>
              </w:rPr>
              <w:t>9,4</w:t>
            </w:r>
          </w:p>
        </w:tc>
        <w:tc>
          <w:tcPr>
            <w:tcW w:w="1343" w:type="dxa"/>
            <w:vAlign w:val="center"/>
            <w:hideMark/>
          </w:tcPr>
          <w:p w:rsidR="00472ADE" w:rsidRPr="00472ADE" w:rsidRDefault="000E14C3" w:rsidP="00CC6F6E">
            <w:pPr>
              <w:spacing w:line="260" w:lineRule="atLeast"/>
              <w:jc w:val="right"/>
              <w:rPr>
                <w:rFonts w:cs="Calibri"/>
              </w:rPr>
            </w:pPr>
            <w:r>
              <w:rPr>
                <w:rFonts w:cs="Calibri"/>
              </w:rPr>
              <w:t>9,4</w:t>
            </w:r>
          </w:p>
        </w:tc>
        <w:tc>
          <w:tcPr>
            <w:tcW w:w="1343" w:type="dxa"/>
            <w:vAlign w:val="center"/>
            <w:hideMark/>
          </w:tcPr>
          <w:p w:rsidR="00472ADE" w:rsidRPr="00472ADE" w:rsidRDefault="00AC4F8F" w:rsidP="00CC6F6E">
            <w:pPr>
              <w:spacing w:line="260" w:lineRule="atLeast"/>
              <w:jc w:val="right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3B5057" w:rsidRPr="00742DC3" w:rsidTr="00064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auto"/>
            <w:vMerge/>
          </w:tcPr>
          <w:p w:rsidR="003B5057" w:rsidRPr="00742DC3" w:rsidRDefault="003B5057" w:rsidP="00CC6F6E">
            <w:pPr>
              <w:spacing w:line="260" w:lineRule="atLeast"/>
              <w:rPr>
                <w:rFonts w:cs="Calibri"/>
              </w:rPr>
            </w:pP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3B5057" w:rsidRPr="00472ADE" w:rsidRDefault="003B5057" w:rsidP="00CC6F6E">
            <w:pPr>
              <w:spacing w:line="260" w:lineRule="atLeast"/>
              <w:rPr>
                <w:rFonts w:cs="Calibri"/>
                <w:b/>
              </w:rPr>
            </w:pPr>
            <w:r w:rsidRPr="00472ADE">
              <w:rPr>
                <w:rFonts w:cs="Calibri"/>
                <w:b/>
              </w:rPr>
              <w:t>2020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B5057" w:rsidRPr="003B5057" w:rsidRDefault="003B5057" w:rsidP="00CC6F6E">
            <w:pPr>
              <w:spacing w:line="260" w:lineRule="atLeast"/>
              <w:jc w:val="right"/>
              <w:rPr>
                <w:rFonts w:cs="Calibri"/>
              </w:rPr>
            </w:pPr>
            <w:r w:rsidRPr="003B5057">
              <w:rPr>
                <w:rFonts w:cs="Calibri"/>
              </w:rPr>
              <w:t>10</w:t>
            </w:r>
            <w:r w:rsidR="00AC4F8F">
              <w:rPr>
                <w:rFonts w:cs="Calibri"/>
              </w:rPr>
              <w:t>,0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5057" w:rsidRPr="003B5057" w:rsidRDefault="003B5057" w:rsidP="00CC6F6E">
            <w:pPr>
              <w:spacing w:line="260" w:lineRule="atLeast"/>
              <w:jc w:val="right"/>
              <w:rPr>
                <w:rFonts w:cs="Calibri"/>
              </w:rPr>
            </w:pPr>
            <w:r w:rsidRPr="003B5057">
              <w:rPr>
                <w:rFonts w:cs="Calibri"/>
              </w:rPr>
              <w:t>11,9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B5057" w:rsidRPr="003B5057" w:rsidRDefault="003B5057" w:rsidP="00CC6F6E">
            <w:pPr>
              <w:spacing w:line="260" w:lineRule="atLeast"/>
              <w:jc w:val="right"/>
              <w:rPr>
                <w:rFonts w:cs="Calibri"/>
              </w:rPr>
            </w:pPr>
            <w:r w:rsidRPr="003B5057">
              <w:rPr>
                <w:rFonts w:cs="Calibri"/>
              </w:rPr>
              <w:t>9,9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5057" w:rsidRPr="003B5057" w:rsidRDefault="003B5057" w:rsidP="00CC6F6E">
            <w:pPr>
              <w:spacing w:line="260" w:lineRule="atLeast"/>
              <w:jc w:val="right"/>
              <w:rPr>
                <w:rFonts w:cs="Calibri"/>
              </w:rPr>
            </w:pPr>
            <w:r w:rsidRPr="003B5057">
              <w:rPr>
                <w:rFonts w:cs="Calibri"/>
              </w:rPr>
              <w:t>10,5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B5057" w:rsidRPr="003B5057" w:rsidRDefault="003B5057" w:rsidP="00CC6F6E">
            <w:pPr>
              <w:spacing w:line="260" w:lineRule="atLeast"/>
              <w:jc w:val="right"/>
              <w:rPr>
                <w:rFonts w:cs="Calibri"/>
              </w:rPr>
            </w:pPr>
            <w:r w:rsidRPr="003B5057">
              <w:rPr>
                <w:rFonts w:cs="Calibri"/>
              </w:rPr>
              <w:t>-</w:t>
            </w:r>
          </w:p>
        </w:tc>
      </w:tr>
    </w:tbl>
    <w:p w:rsidR="00D55807" w:rsidRPr="00FE3416" w:rsidRDefault="00064BD9" w:rsidP="00064BD9">
      <w:pPr>
        <w:spacing w:after="0" w:line="260" w:lineRule="atLeast"/>
        <w:rPr>
          <w:rFonts w:cs="Calibri"/>
          <w:sz w:val="18"/>
          <w:szCs w:val="18"/>
        </w:rPr>
      </w:pPr>
      <w:r w:rsidRPr="00064BD9">
        <w:rPr>
          <w:rFonts w:cs="Calibri"/>
        </w:rPr>
        <w:t>*</w:t>
      </w:r>
      <w:r w:rsidR="00D55807" w:rsidRPr="00FE3416">
        <w:rPr>
          <w:rFonts w:cs="Calibri"/>
          <w:sz w:val="18"/>
          <w:szCs w:val="18"/>
        </w:rPr>
        <w:t xml:space="preserve">Opomba: Na ravni Slovenije je bil v obeh letih dosežen neto čisti dobiček, </w:t>
      </w:r>
      <w:r w:rsidRPr="00FE3416">
        <w:rPr>
          <w:rFonts w:cs="Calibri"/>
          <w:sz w:val="18"/>
          <w:szCs w:val="18"/>
        </w:rPr>
        <w:t>zato deleža ni mogoče izračunati.</w:t>
      </w:r>
    </w:p>
    <w:p w:rsidR="00A51E63" w:rsidRPr="00142317" w:rsidRDefault="00142317" w:rsidP="00F11218">
      <w:pPr>
        <w:spacing w:before="360" w:after="0" w:line="260" w:lineRule="atLeast"/>
        <w:rPr>
          <w:rFonts w:cs="Calibri"/>
          <w:b/>
          <w:szCs w:val="24"/>
        </w:rPr>
      </w:pPr>
      <w:r w:rsidRPr="00142317">
        <w:rPr>
          <w:rFonts w:cs="Calibri"/>
          <w:b/>
          <w:szCs w:val="24"/>
        </w:rPr>
        <w:t xml:space="preserve">Ključni podatki o poslovanju družb </w:t>
      </w:r>
      <w:r w:rsidR="000E14C3">
        <w:rPr>
          <w:rFonts w:cs="Calibri"/>
          <w:b/>
          <w:szCs w:val="24"/>
        </w:rPr>
        <w:t>savinjske</w:t>
      </w:r>
      <w:r w:rsidRPr="00142317">
        <w:rPr>
          <w:rFonts w:cs="Calibri"/>
          <w:b/>
          <w:szCs w:val="24"/>
        </w:rPr>
        <w:t xml:space="preserve"> regije v 20</w:t>
      </w:r>
      <w:r w:rsidR="000E14C3">
        <w:rPr>
          <w:rFonts w:cs="Calibri"/>
          <w:b/>
          <w:szCs w:val="24"/>
        </w:rPr>
        <w:t>20</w:t>
      </w:r>
    </w:p>
    <w:p w:rsidR="00191F71" w:rsidRDefault="00A51E63" w:rsidP="00191F71">
      <w:pPr>
        <w:spacing w:before="240" w:after="0" w:line="260" w:lineRule="atLeast"/>
      </w:pPr>
      <w:r w:rsidRPr="00A51E63">
        <w:rPr>
          <w:b/>
          <w:noProof/>
          <w:sz w:val="36"/>
          <w:szCs w:val="36"/>
          <w:lang w:eastAsia="sl-SI"/>
        </w:rPr>
        <w:lastRenderedPageBreak/>
        <w:drawing>
          <wp:inline distT="0" distB="0" distL="0" distR="0" wp14:anchorId="0A0F778B" wp14:editId="0D0D1DBE">
            <wp:extent cx="3743325" cy="3267075"/>
            <wp:effectExtent l="0" t="0" r="0" b="4762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914292-E70B-4D2C-8647-7482438542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191F71">
        <w:br w:type="page"/>
      </w:r>
    </w:p>
    <w:p w:rsidR="00191F71" w:rsidRPr="00191F71" w:rsidRDefault="00191F71" w:rsidP="00191F71">
      <w:pPr>
        <w:spacing w:before="240" w:after="0" w:line="260" w:lineRule="atLeast"/>
      </w:pPr>
    </w:p>
    <w:p w:rsidR="005C1F1A" w:rsidRPr="00191F71" w:rsidRDefault="005C1F1A" w:rsidP="00191F71">
      <w:pPr>
        <w:spacing w:after="0" w:line="260" w:lineRule="atLeast"/>
        <w:rPr>
          <w:b/>
          <w:sz w:val="24"/>
          <w:szCs w:val="24"/>
        </w:rPr>
      </w:pPr>
      <w:r w:rsidRPr="00191F71">
        <w:rPr>
          <w:b/>
          <w:sz w:val="24"/>
          <w:szCs w:val="24"/>
        </w:rPr>
        <w:t>Samostojni podjetniki</w:t>
      </w:r>
    </w:p>
    <w:p w:rsidR="00D137EE" w:rsidRDefault="00D137EE" w:rsidP="00D137EE">
      <w:pPr>
        <w:pStyle w:val="Odstavekseznama"/>
        <w:autoSpaceDE w:val="0"/>
        <w:autoSpaceDN w:val="0"/>
        <w:adjustRightInd w:val="0"/>
        <w:spacing w:before="240" w:line="260" w:lineRule="atLeast"/>
        <w:ind w:left="0"/>
        <w:contextualSpacing w:val="0"/>
        <w:rPr>
          <w:rFonts w:cs="Calibri"/>
          <w:sz w:val="22"/>
          <w:szCs w:val="24"/>
        </w:rPr>
      </w:pPr>
      <w:r w:rsidRPr="00D137EE">
        <w:rPr>
          <w:rFonts w:cs="Calibri"/>
          <w:sz w:val="22"/>
          <w:szCs w:val="24"/>
        </w:rPr>
        <w:t xml:space="preserve">Podjetniki savinjske regije so </w:t>
      </w:r>
      <w:r w:rsidR="00C93D1C">
        <w:rPr>
          <w:rFonts w:cs="Calibri"/>
          <w:sz w:val="22"/>
          <w:szCs w:val="24"/>
        </w:rPr>
        <w:t>v letu 2020</w:t>
      </w:r>
      <w:r w:rsidRPr="00D137EE">
        <w:rPr>
          <w:rFonts w:cs="Calibri"/>
          <w:sz w:val="22"/>
          <w:szCs w:val="24"/>
        </w:rPr>
        <w:t xml:space="preserve"> zmanjšali gospodarsko aktivnost tako na domačem</w:t>
      </w:r>
      <w:r w:rsidR="00976BC5">
        <w:rPr>
          <w:rFonts w:cs="Calibri"/>
          <w:sz w:val="22"/>
          <w:szCs w:val="24"/>
        </w:rPr>
        <w:t xml:space="preserve"> kot tujem trgu. </w:t>
      </w:r>
      <w:r w:rsidR="00D23B3A">
        <w:rPr>
          <w:rFonts w:cs="Calibri"/>
          <w:sz w:val="22"/>
          <w:szCs w:val="24"/>
        </w:rPr>
        <w:t xml:space="preserve">Prihodki od </w:t>
      </w:r>
      <w:r w:rsidR="00976BC5">
        <w:rPr>
          <w:rFonts w:cs="Calibri"/>
          <w:sz w:val="22"/>
          <w:szCs w:val="24"/>
        </w:rPr>
        <w:t>prodaje na domačem trgu</w:t>
      </w:r>
      <w:r w:rsidR="00D23B3A">
        <w:rPr>
          <w:rFonts w:cs="Calibri"/>
          <w:sz w:val="22"/>
          <w:szCs w:val="24"/>
        </w:rPr>
        <w:t xml:space="preserve"> so se zmanjšali za </w:t>
      </w:r>
      <w:r w:rsidR="00976BC5">
        <w:rPr>
          <w:rFonts w:cs="Calibri"/>
          <w:sz w:val="22"/>
          <w:szCs w:val="24"/>
        </w:rPr>
        <w:t>7</w:t>
      </w:r>
      <w:r w:rsidR="00D23B3A">
        <w:rPr>
          <w:rFonts w:cs="Calibri"/>
          <w:sz w:val="22"/>
          <w:szCs w:val="24"/>
        </w:rPr>
        <w:t xml:space="preserve"> %, na tujem trgu pa </w:t>
      </w:r>
      <w:r w:rsidR="00C93D1C">
        <w:rPr>
          <w:rFonts w:cs="Calibri"/>
          <w:sz w:val="22"/>
          <w:szCs w:val="24"/>
        </w:rPr>
        <w:t>za 2 %</w:t>
      </w:r>
      <w:r w:rsidR="00D23B3A">
        <w:rPr>
          <w:rFonts w:cs="Calibri"/>
          <w:sz w:val="22"/>
          <w:szCs w:val="24"/>
        </w:rPr>
        <w:t>.</w:t>
      </w:r>
      <w:r w:rsidRPr="00D137EE">
        <w:rPr>
          <w:rFonts w:cs="Calibri"/>
          <w:sz w:val="22"/>
          <w:szCs w:val="24"/>
        </w:rPr>
        <w:t xml:space="preserve"> Zaradi ukrepov preprečitve širjenja</w:t>
      </w:r>
      <w:r w:rsidR="00CC6F6E">
        <w:rPr>
          <w:rFonts w:cs="Calibri"/>
          <w:sz w:val="22"/>
          <w:szCs w:val="24"/>
        </w:rPr>
        <w:t xml:space="preserve"> okužb s</w:t>
      </w:r>
      <w:r w:rsidRPr="00D137EE">
        <w:rPr>
          <w:rFonts w:cs="Calibri"/>
          <w:sz w:val="22"/>
          <w:szCs w:val="24"/>
        </w:rPr>
        <w:t xml:space="preserve"> koronavirus</w:t>
      </w:r>
      <w:r w:rsidR="00CC6F6E">
        <w:rPr>
          <w:rFonts w:cs="Calibri"/>
          <w:sz w:val="22"/>
          <w:szCs w:val="24"/>
        </w:rPr>
        <w:t>om</w:t>
      </w:r>
      <w:r w:rsidRPr="00D137EE">
        <w:rPr>
          <w:rFonts w:cs="Calibri"/>
          <w:sz w:val="22"/>
          <w:szCs w:val="24"/>
        </w:rPr>
        <w:t xml:space="preserve"> je izpad prihodkov najhuje prizadel podjetnike v gostinstvu</w:t>
      </w:r>
      <w:r w:rsidR="004D0697">
        <w:rPr>
          <w:rFonts w:cs="Calibri"/>
          <w:sz w:val="22"/>
          <w:szCs w:val="24"/>
        </w:rPr>
        <w:t xml:space="preserve">, kjer so se prihodki od prodaje zmanjšali za četrtino. Kljub temu padec celotnih prihodkov </w:t>
      </w:r>
      <w:r w:rsidR="00A316F6">
        <w:rPr>
          <w:rFonts w:cs="Calibri"/>
          <w:sz w:val="22"/>
          <w:szCs w:val="24"/>
        </w:rPr>
        <w:t xml:space="preserve">podjetnikov regije </w:t>
      </w:r>
      <w:r w:rsidR="004D0697">
        <w:rPr>
          <w:rFonts w:cs="Calibri"/>
          <w:sz w:val="22"/>
          <w:szCs w:val="24"/>
        </w:rPr>
        <w:t>ni bil tako usoden</w:t>
      </w:r>
      <w:r w:rsidR="00976BC5">
        <w:rPr>
          <w:rFonts w:cs="Calibri"/>
          <w:sz w:val="22"/>
          <w:szCs w:val="24"/>
        </w:rPr>
        <w:t xml:space="preserve"> </w:t>
      </w:r>
      <w:r w:rsidR="00976BC5" w:rsidRPr="00D137EE">
        <w:rPr>
          <w:rFonts w:cs="Calibri"/>
          <w:sz w:val="22"/>
          <w:szCs w:val="24"/>
        </w:rPr>
        <w:t>zaradi prejete državne pomoči v zvezi s protikoronskimi ukrepi</w:t>
      </w:r>
      <w:r w:rsidR="00976BC5">
        <w:rPr>
          <w:rFonts w:cs="Calibri"/>
          <w:sz w:val="22"/>
          <w:szCs w:val="24"/>
        </w:rPr>
        <w:t xml:space="preserve">. </w:t>
      </w:r>
      <w:r w:rsidR="00D23B3A">
        <w:rPr>
          <w:rFonts w:cs="Calibri"/>
          <w:sz w:val="22"/>
          <w:szCs w:val="24"/>
        </w:rPr>
        <w:t>L</w:t>
      </w:r>
      <w:r w:rsidR="004D0697">
        <w:rPr>
          <w:rFonts w:cs="Calibri"/>
          <w:sz w:val="22"/>
          <w:szCs w:val="24"/>
        </w:rPr>
        <w:t>eto 2020</w:t>
      </w:r>
      <w:r w:rsidR="00D23B3A">
        <w:rPr>
          <w:rFonts w:cs="Calibri"/>
          <w:sz w:val="22"/>
          <w:szCs w:val="24"/>
        </w:rPr>
        <w:t xml:space="preserve"> so</w:t>
      </w:r>
      <w:r w:rsidR="004D0697">
        <w:rPr>
          <w:rFonts w:cs="Calibri"/>
          <w:sz w:val="22"/>
          <w:szCs w:val="24"/>
        </w:rPr>
        <w:t xml:space="preserve"> zaključili z rahlo </w:t>
      </w:r>
      <w:r>
        <w:rPr>
          <w:rFonts w:cs="Calibri"/>
          <w:sz w:val="22"/>
          <w:szCs w:val="24"/>
        </w:rPr>
        <w:t>oslabljenim neto podjetnikovim dohodkom</w:t>
      </w:r>
      <w:r w:rsidR="000D7834">
        <w:rPr>
          <w:rFonts w:cs="Calibri"/>
          <w:sz w:val="22"/>
          <w:szCs w:val="24"/>
        </w:rPr>
        <w:t xml:space="preserve"> (dobičkom)</w:t>
      </w:r>
      <w:r w:rsidRPr="00D137EE">
        <w:rPr>
          <w:rFonts w:cs="Calibri"/>
          <w:sz w:val="22"/>
          <w:szCs w:val="24"/>
        </w:rPr>
        <w:t>.</w:t>
      </w:r>
    </w:p>
    <w:p w:rsidR="005C1F1A" w:rsidRPr="00D137EE" w:rsidRDefault="00D23B3A" w:rsidP="00D137EE">
      <w:pPr>
        <w:pStyle w:val="Odstavekseznama"/>
        <w:autoSpaceDE w:val="0"/>
        <w:autoSpaceDN w:val="0"/>
        <w:adjustRightInd w:val="0"/>
        <w:spacing w:before="240" w:line="260" w:lineRule="atLeast"/>
        <w:ind w:left="0"/>
        <w:contextualSpacing w:val="0"/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Dobre tri petine podjetnikov je lani poslovalo brez dodatne delovne sile</w:t>
      </w:r>
      <w:r w:rsidR="00E73869">
        <w:rPr>
          <w:rFonts w:cs="Calibri"/>
          <w:sz w:val="22"/>
          <w:szCs w:val="24"/>
        </w:rPr>
        <w:t xml:space="preserve">. Podjetniki, ki so zaposlovali, pa </w:t>
      </w:r>
      <w:r w:rsidR="00D137EE" w:rsidRPr="00D137EE">
        <w:rPr>
          <w:rFonts w:cs="Calibri"/>
          <w:sz w:val="22"/>
          <w:szCs w:val="24"/>
        </w:rPr>
        <w:t>so ohranili skoraj enako število zaposlenih</w:t>
      </w:r>
      <w:r w:rsidR="00E73869">
        <w:rPr>
          <w:rFonts w:cs="Calibri"/>
          <w:sz w:val="22"/>
          <w:szCs w:val="24"/>
        </w:rPr>
        <w:t xml:space="preserve"> kot</w:t>
      </w:r>
      <w:r w:rsidR="00C93D1C">
        <w:rPr>
          <w:rFonts w:cs="Calibri"/>
          <w:sz w:val="22"/>
          <w:szCs w:val="24"/>
        </w:rPr>
        <w:t xml:space="preserve"> v</w:t>
      </w:r>
      <w:r w:rsidR="00E73869">
        <w:rPr>
          <w:rFonts w:cs="Calibri"/>
          <w:sz w:val="22"/>
          <w:szCs w:val="24"/>
        </w:rPr>
        <w:t xml:space="preserve"> let</w:t>
      </w:r>
      <w:r w:rsidR="00C93D1C">
        <w:rPr>
          <w:rFonts w:cs="Calibri"/>
          <w:sz w:val="22"/>
          <w:szCs w:val="24"/>
        </w:rPr>
        <w:t>u</w:t>
      </w:r>
      <w:r w:rsidR="00E73869">
        <w:rPr>
          <w:rFonts w:cs="Calibri"/>
          <w:sz w:val="22"/>
          <w:szCs w:val="24"/>
        </w:rPr>
        <w:t xml:space="preserve"> prej.</w:t>
      </w:r>
      <w:r w:rsidR="00441D68">
        <w:rPr>
          <w:rFonts w:cs="Calibri"/>
          <w:sz w:val="22"/>
          <w:szCs w:val="24"/>
        </w:rPr>
        <w:t xml:space="preserve"> </w:t>
      </w:r>
      <w:r w:rsidR="00E73869">
        <w:rPr>
          <w:rFonts w:cs="Calibri"/>
          <w:sz w:val="22"/>
          <w:szCs w:val="24"/>
        </w:rPr>
        <w:t>V</w:t>
      </w:r>
      <w:r w:rsidR="00441D68">
        <w:rPr>
          <w:rFonts w:cs="Calibri"/>
          <w:sz w:val="22"/>
          <w:szCs w:val="24"/>
        </w:rPr>
        <w:t xml:space="preserve"> povprečju </w:t>
      </w:r>
      <w:r w:rsidR="00E73869">
        <w:rPr>
          <w:rFonts w:cs="Calibri"/>
          <w:sz w:val="22"/>
          <w:szCs w:val="24"/>
        </w:rPr>
        <w:t xml:space="preserve">so </w:t>
      </w:r>
      <w:r w:rsidR="00441D68">
        <w:rPr>
          <w:rFonts w:cs="Calibri"/>
          <w:sz w:val="22"/>
          <w:szCs w:val="24"/>
        </w:rPr>
        <w:t>zaposleni pri podjetnikih prejemali 450</w:t>
      </w:r>
      <w:r w:rsidR="00E73869">
        <w:rPr>
          <w:rFonts w:cs="Calibri"/>
          <w:sz w:val="22"/>
          <w:szCs w:val="24"/>
        </w:rPr>
        <w:t> </w:t>
      </w:r>
      <w:r w:rsidR="00441D68">
        <w:rPr>
          <w:rFonts w:cs="Calibri"/>
          <w:sz w:val="22"/>
          <w:szCs w:val="24"/>
        </w:rPr>
        <w:t>evrov nižjo plačo od zaposlenih pri gospodarskih družbah</w:t>
      </w:r>
      <w:r w:rsidR="00D137EE">
        <w:rPr>
          <w:rFonts w:cs="Calibri"/>
          <w:sz w:val="22"/>
          <w:szCs w:val="24"/>
        </w:rPr>
        <w:t>.</w:t>
      </w:r>
    </w:p>
    <w:p w:rsidR="00763DD0" w:rsidRDefault="00FB2D65" w:rsidP="00191F71">
      <w:pPr>
        <w:spacing w:before="240" w:after="120" w:line="260" w:lineRule="atLeast"/>
        <w:rPr>
          <w:rFonts w:cs="Calibri"/>
          <w:b/>
          <w:szCs w:val="24"/>
        </w:rPr>
      </w:pPr>
      <w:r w:rsidRPr="00142317">
        <w:rPr>
          <w:rFonts w:cs="Calibri"/>
          <w:b/>
          <w:szCs w:val="24"/>
        </w:rPr>
        <w:t xml:space="preserve">Gospodarska moč </w:t>
      </w:r>
      <w:r>
        <w:rPr>
          <w:rFonts w:cs="Calibri"/>
          <w:b/>
          <w:szCs w:val="24"/>
        </w:rPr>
        <w:t xml:space="preserve">samostojnih podjetnikov </w:t>
      </w:r>
      <w:r w:rsidR="000E14C3">
        <w:rPr>
          <w:rFonts w:cs="Calibri"/>
          <w:b/>
          <w:szCs w:val="24"/>
        </w:rPr>
        <w:t>savinjske</w:t>
      </w:r>
      <w:r w:rsidRPr="00142317">
        <w:rPr>
          <w:rFonts w:cs="Calibri"/>
          <w:b/>
          <w:szCs w:val="24"/>
        </w:rPr>
        <w:t xml:space="preserve"> regije</w:t>
      </w:r>
    </w:p>
    <w:tbl>
      <w:tblPr>
        <w:tblStyle w:val="GridTable4Accent1"/>
        <w:tblW w:w="0" w:type="auto"/>
        <w:tblLook w:val="0420" w:firstRow="1" w:lastRow="0" w:firstColumn="0" w:lastColumn="0" w:noHBand="0" w:noVBand="1"/>
      </w:tblPr>
      <w:tblGrid>
        <w:gridCol w:w="2252"/>
        <w:gridCol w:w="663"/>
        <w:gridCol w:w="1342"/>
        <w:gridCol w:w="1343"/>
        <w:gridCol w:w="1342"/>
        <w:gridCol w:w="1343"/>
        <w:gridCol w:w="1343"/>
      </w:tblGrid>
      <w:tr w:rsidR="00472ADE" w:rsidRPr="00742DC3" w:rsidTr="00064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915" w:type="dxa"/>
            <w:gridSpan w:val="2"/>
            <w:tcBorders>
              <w:right w:val="single" w:sz="4" w:space="0" w:color="FFFFFF" w:themeColor="background1"/>
            </w:tcBorders>
            <w:shd w:val="clear" w:color="auto" w:fill="0077C8"/>
          </w:tcPr>
          <w:p w:rsidR="00472ADE" w:rsidRPr="00742DC3" w:rsidRDefault="00472ADE" w:rsidP="00472ADE">
            <w:pPr>
              <w:spacing w:line="260" w:lineRule="atLeast"/>
              <w:rPr>
                <w:rFonts w:cs="Calibri"/>
              </w:rPr>
            </w:pP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Pr="00742DC3" w:rsidRDefault="00472ADE" w:rsidP="00472ADE">
            <w:pPr>
              <w:spacing w:line="260" w:lineRule="atLeast"/>
              <w:jc w:val="center"/>
              <w:rPr>
                <w:rFonts w:cs="Calibri"/>
              </w:rPr>
            </w:pPr>
            <w:r w:rsidRPr="00742DC3">
              <w:rPr>
                <w:rFonts w:cs="Calibri"/>
              </w:rPr>
              <w:t>Št</w:t>
            </w:r>
            <w:r>
              <w:rPr>
                <w:rFonts w:cs="Calibri"/>
              </w:rPr>
              <w:t>evilo</w:t>
            </w:r>
            <w:r w:rsidRPr="00742DC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podjetnikov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Pr="00742DC3" w:rsidRDefault="00472ADE" w:rsidP="00472ADE">
            <w:pPr>
              <w:spacing w:line="260" w:lineRule="atLeast"/>
              <w:jc w:val="center"/>
              <w:rPr>
                <w:rFonts w:cs="Calibri"/>
              </w:rPr>
            </w:pPr>
            <w:r w:rsidRPr="00742DC3">
              <w:rPr>
                <w:rFonts w:cs="Calibri"/>
              </w:rPr>
              <w:t>Št</w:t>
            </w:r>
            <w:r>
              <w:rPr>
                <w:rFonts w:cs="Calibri"/>
              </w:rPr>
              <w:t>evilo</w:t>
            </w:r>
            <w:r w:rsidRPr="00742DC3">
              <w:rPr>
                <w:rFonts w:cs="Calibri"/>
              </w:rPr>
              <w:t xml:space="preserve"> zaposlenih</w:t>
            </w: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472AD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Prihodki</w:t>
            </w:r>
          </w:p>
          <w:p w:rsidR="00472ADE" w:rsidRPr="00EF227E" w:rsidRDefault="00472ADE" w:rsidP="00472AD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472AD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>Prihodki tuj</w:t>
            </w:r>
            <w:r>
              <w:rPr>
                <w:rFonts w:cs="Calibri"/>
              </w:rPr>
              <w:t>i</w:t>
            </w:r>
            <w:r w:rsidRPr="00742DC3">
              <w:rPr>
                <w:rFonts w:cs="Calibri"/>
              </w:rPr>
              <w:t xml:space="preserve"> trg</w:t>
            </w:r>
          </w:p>
          <w:p w:rsidR="00472ADE" w:rsidRPr="00EF227E" w:rsidRDefault="00472ADE" w:rsidP="00472AD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  <w:tc>
          <w:tcPr>
            <w:tcW w:w="1343" w:type="dxa"/>
            <w:tcBorders>
              <w:left w:val="single" w:sz="4" w:space="0" w:color="FFFFFF" w:themeColor="background1"/>
            </w:tcBorders>
            <w:shd w:val="clear" w:color="auto" w:fill="0077C8"/>
            <w:vAlign w:val="center"/>
            <w:hideMark/>
          </w:tcPr>
          <w:p w:rsidR="00472ADE" w:rsidRDefault="00472ADE" w:rsidP="00472ADE">
            <w:pPr>
              <w:spacing w:line="260" w:lineRule="atLeast"/>
              <w:jc w:val="center"/>
              <w:rPr>
                <w:rFonts w:cs="Calibri"/>
                <w:b w:val="0"/>
                <w:bCs w:val="0"/>
              </w:rPr>
            </w:pPr>
            <w:r w:rsidRPr="00742DC3">
              <w:rPr>
                <w:rFonts w:cs="Calibri"/>
              </w:rPr>
              <w:t xml:space="preserve">Neto </w:t>
            </w:r>
            <w:proofErr w:type="spellStart"/>
            <w:r>
              <w:rPr>
                <w:rFonts w:cs="Calibri"/>
              </w:rPr>
              <w:t>podj</w:t>
            </w:r>
            <w:proofErr w:type="spellEnd"/>
            <w:r>
              <w:rPr>
                <w:rFonts w:cs="Calibri"/>
              </w:rPr>
              <w:t>. dohodek</w:t>
            </w:r>
          </w:p>
          <w:p w:rsidR="00472ADE" w:rsidRPr="00EF227E" w:rsidRDefault="00472ADE" w:rsidP="00472ADE">
            <w:pPr>
              <w:spacing w:line="260" w:lineRule="atLeast"/>
              <w:jc w:val="center"/>
              <w:rPr>
                <w:rFonts w:cs="Calibri"/>
                <w:b w:val="0"/>
              </w:rPr>
            </w:pPr>
            <w:r w:rsidRPr="00EF227E">
              <w:rPr>
                <w:rFonts w:cs="Calibri"/>
                <w:b w:val="0"/>
              </w:rPr>
              <w:t>(v mio EUR)</w:t>
            </w:r>
          </w:p>
        </w:tc>
      </w:tr>
      <w:tr w:rsidR="00281DCE" w:rsidRPr="00742DC3" w:rsidTr="00064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915" w:type="dxa"/>
            <w:gridSpan w:val="2"/>
            <w:vAlign w:val="center"/>
          </w:tcPr>
          <w:p w:rsidR="00281DCE" w:rsidRPr="00472ADE" w:rsidRDefault="00281DCE" w:rsidP="00281DCE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Savinjska</w:t>
            </w:r>
            <w:r w:rsidRPr="00472ADE">
              <w:rPr>
                <w:rFonts w:cs="Calibri"/>
                <w:b/>
              </w:rPr>
              <w:t xml:space="preserve"> regija 2020</w:t>
            </w:r>
          </w:p>
        </w:tc>
        <w:tc>
          <w:tcPr>
            <w:tcW w:w="1342" w:type="dxa"/>
            <w:vAlign w:val="center"/>
            <w:hideMark/>
          </w:tcPr>
          <w:p w:rsidR="00281DCE" w:rsidRPr="004244AA" w:rsidRDefault="00281DCE" w:rsidP="00281DCE">
            <w:pPr>
              <w:jc w:val="right"/>
            </w:pPr>
            <w:r w:rsidRPr="004244AA">
              <w:t>6.708</w:t>
            </w:r>
          </w:p>
        </w:tc>
        <w:tc>
          <w:tcPr>
            <w:tcW w:w="1343" w:type="dxa"/>
            <w:vAlign w:val="center"/>
            <w:hideMark/>
          </w:tcPr>
          <w:p w:rsidR="00281DCE" w:rsidRPr="004244AA" w:rsidRDefault="00281DCE" w:rsidP="00281DCE">
            <w:pPr>
              <w:jc w:val="right"/>
            </w:pPr>
            <w:r w:rsidRPr="004244AA">
              <w:t>6.051</w:t>
            </w:r>
          </w:p>
        </w:tc>
        <w:tc>
          <w:tcPr>
            <w:tcW w:w="1342" w:type="dxa"/>
            <w:vAlign w:val="center"/>
            <w:hideMark/>
          </w:tcPr>
          <w:p w:rsidR="00281DCE" w:rsidRPr="004244AA" w:rsidRDefault="00281DCE" w:rsidP="00281DCE">
            <w:pPr>
              <w:jc w:val="right"/>
            </w:pPr>
            <w:r w:rsidRPr="004244AA">
              <w:t>736</w:t>
            </w:r>
          </w:p>
        </w:tc>
        <w:tc>
          <w:tcPr>
            <w:tcW w:w="1343" w:type="dxa"/>
            <w:vAlign w:val="center"/>
            <w:hideMark/>
          </w:tcPr>
          <w:p w:rsidR="00281DCE" w:rsidRPr="004244AA" w:rsidRDefault="00281DCE" w:rsidP="00281DCE">
            <w:pPr>
              <w:jc w:val="right"/>
            </w:pPr>
            <w:r w:rsidRPr="004244AA">
              <w:t>108</w:t>
            </w:r>
          </w:p>
        </w:tc>
        <w:tc>
          <w:tcPr>
            <w:tcW w:w="1343" w:type="dxa"/>
            <w:vAlign w:val="center"/>
            <w:hideMark/>
          </w:tcPr>
          <w:p w:rsidR="00281DCE" w:rsidRDefault="00281DCE" w:rsidP="00281DCE">
            <w:pPr>
              <w:jc w:val="right"/>
            </w:pPr>
            <w:r w:rsidRPr="004244AA">
              <w:t>48</w:t>
            </w:r>
          </w:p>
        </w:tc>
      </w:tr>
      <w:tr w:rsidR="00281DCE" w:rsidRPr="00D84B8B" w:rsidTr="00064BD9">
        <w:trPr>
          <w:trHeight w:val="397"/>
        </w:trPr>
        <w:tc>
          <w:tcPr>
            <w:tcW w:w="2252" w:type="dxa"/>
            <w:vMerge w:val="restart"/>
            <w:vAlign w:val="center"/>
          </w:tcPr>
          <w:p w:rsidR="00281DCE" w:rsidRPr="00D84B8B" w:rsidRDefault="00281DCE" w:rsidP="00281DCE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Delež savinjske regije v Sloveniji (v %)</w:t>
            </w:r>
          </w:p>
        </w:tc>
        <w:tc>
          <w:tcPr>
            <w:tcW w:w="663" w:type="dxa"/>
            <w:vAlign w:val="center"/>
            <w:hideMark/>
          </w:tcPr>
          <w:p w:rsidR="00281DCE" w:rsidRPr="00D84B8B" w:rsidRDefault="00281DCE" w:rsidP="00281DCE">
            <w:pPr>
              <w:spacing w:line="26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2019</w:t>
            </w:r>
          </w:p>
        </w:tc>
        <w:tc>
          <w:tcPr>
            <w:tcW w:w="1342" w:type="dxa"/>
            <w:vAlign w:val="center"/>
            <w:hideMark/>
          </w:tcPr>
          <w:p w:rsidR="00281DCE" w:rsidRPr="00BF5783" w:rsidRDefault="00281DCE" w:rsidP="00281DCE">
            <w:pPr>
              <w:jc w:val="right"/>
            </w:pPr>
            <w:r w:rsidRPr="00BF5783">
              <w:t>13,1</w:t>
            </w:r>
          </w:p>
        </w:tc>
        <w:tc>
          <w:tcPr>
            <w:tcW w:w="1343" w:type="dxa"/>
            <w:vAlign w:val="center"/>
            <w:hideMark/>
          </w:tcPr>
          <w:p w:rsidR="00281DCE" w:rsidRPr="00BF5783" w:rsidRDefault="00281DCE" w:rsidP="00281DCE">
            <w:pPr>
              <w:jc w:val="right"/>
            </w:pPr>
            <w:r w:rsidRPr="00BF5783">
              <w:t>14,5</w:t>
            </w:r>
          </w:p>
        </w:tc>
        <w:tc>
          <w:tcPr>
            <w:tcW w:w="1342" w:type="dxa"/>
            <w:vAlign w:val="center"/>
            <w:hideMark/>
          </w:tcPr>
          <w:p w:rsidR="00281DCE" w:rsidRPr="00BF5783" w:rsidRDefault="00281DCE" w:rsidP="00281DCE">
            <w:pPr>
              <w:jc w:val="right"/>
            </w:pPr>
            <w:r w:rsidRPr="00BF5783">
              <w:t>15,1</w:t>
            </w:r>
          </w:p>
        </w:tc>
        <w:tc>
          <w:tcPr>
            <w:tcW w:w="1343" w:type="dxa"/>
            <w:vAlign w:val="center"/>
            <w:hideMark/>
          </w:tcPr>
          <w:p w:rsidR="00281DCE" w:rsidRPr="00BF5783" w:rsidRDefault="00281DCE" w:rsidP="00281DCE">
            <w:pPr>
              <w:jc w:val="right"/>
            </w:pPr>
            <w:r w:rsidRPr="00BF5783">
              <w:t>19,1</w:t>
            </w:r>
          </w:p>
        </w:tc>
        <w:tc>
          <w:tcPr>
            <w:tcW w:w="1343" w:type="dxa"/>
            <w:vAlign w:val="center"/>
            <w:hideMark/>
          </w:tcPr>
          <w:p w:rsidR="00281DCE" w:rsidRPr="00BF5783" w:rsidRDefault="00281DCE" w:rsidP="00281DCE">
            <w:pPr>
              <w:jc w:val="right"/>
            </w:pPr>
            <w:r w:rsidRPr="00BF5783">
              <w:t>13,5</w:t>
            </w:r>
          </w:p>
        </w:tc>
      </w:tr>
      <w:tr w:rsidR="00281DCE" w:rsidRPr="00742DC3" w:rsidTr="00064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252" w:type="dxa"/>
            <w:vMerge/>
          </w:tcPr>
          <w:p w:rsidR="00281DCE" w:rsidRPr="00742DC3" w:rsidRDefault="00281DCE" w:rsidP="00281DCE">
            <w:pPr>
              <w:spacing w:line="260" w:lineRule="atLeast"/>
              <w:rPr>
                <w:rFonts w:cs="Calibri"/>
              </w:rPr>
            </w:pPr>
          </w:p>
        </w:tc>
        <w:tc>
          <w:tcPr>
            <w:tcW w:w="663" w:type="dxa"/>
            <w:shd w:val="clear" w:color="auto" w:fill="auto"/>
            <w:vAlign w:val="center"/>
            <w:hideMark/>
          </w:tcPr>
          <w:p w:rsidR="00281DCE" w:rsidRPr="00472ADE" w:rsidRDefault="00281DCE" w:rsidP="00281DCE">
            <w:pPr>
              <w:spacing w:line="260" w:lineRule="atLeast"/>
              <w:rPr>
                <w:rFonts w:cs="Calibri"/>
                <w:b/>
              </w:rPr>
            </w:pPr>
            <w:r w:rsidRPr="00472ADE">
              <w:rPr>
                <w:rFonts w:cs="Calibri"/>
                <w:b/>
              </w:rPr>
              <w:t>2020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81DCE" w:rsidRPr="00BF5783" w:rsidRDefault="00281DCE" w:rsidP="00281DCE">
            <w:pPr>
              <w:jc w:val="right"/>
            </w:pPr>
            <w:r w:rsidRPr="00BF5783">
              <w:t xml:space="preserve"> 13,2   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81DCE" w:rsidRPr="00BF5783" w:rsidRDefault="00281DCE" w:rsidP="00281DCE">
            <w:pPr>
              <w:jc w:val="right"/>
            </w:pPr>
            <w:r w:rsidRPr="00BF5783">
              <w:t xml:space="preserve"> 14,4   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81DCE" w:rsidRPr="00BF5783" w:rsidRDefault="00281DCE" w:rsidP="00281DCE">
            <w:pPr>
              <w:jc w:val="right"/>
            </w:pPr>
            <w:r w:rsidRPr="00BF5783">
              <w:t xml:space="preserve"> 15,4   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81DCE" w:rsidRPr="00BF5783" w:rsidRDefault="00281DCE" w:rsidP="00281DCE">
            <w:pPr>
              <w:jc w:val="right"/>
            </w:pPr>
            <w:r w:rsidRPr="00BF5783">
              <w:t xml:space="preserve"> 18,9   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81DCE" w:rsidRDefault="00281DCE" w:rsidP="00281DCE">
            <w:pPr>
              <w:jc w:val="right"/>
            </w:pPr>
            <w:r w:rsidRPr="00BF5783">
              <w:t xml:space="preserve"> 14,3   </w:t>
            </w:r>
          </w:p>
        </w:tc>
      </w:tr>
    </w:tbl>
    <w:p w:rsidR="00FB2D65" w:rsidRPr="00142317" w:rsidRDefault="00FB2D65" w:rsidP="00F11218">
      <w:pPr>
        <w:spacing w:before="360" w:after="0" w:line="260" w:lineRule="atLeast"/>
        <w:rPr>
          <w:rFonts w:cs="Calibri"/>
          <w:b/>
          <w:szCs w:val="24"/>
        </w:rPr>
      </w:pPr>
      <w:r w:rsidRPr="00142317">
        <w:rPr>
          <w:rFonts w:cs="Calibri"/>
          <w:b/>
          <w:szCs w:val="24"/>
        </w:rPr>
        <w:t xml:space="preserve">Ključni podatki o poslovanju </w:t>
      </w:r>
      <w:r>
        <w:rPr>
          <w:rFonts w:cs="Calibri"/>
          <w:b/>
          <w:szCs w:val="24"/>
        </w:rPr>
        <w:t xml:space="preserve">samostojnih podjetnikov </w:t>
      </w:r>
      <w:r w:rsidR="000E14C3">
        <w:rPr>
          <w:rFonts w:cs="Calibri"/>
          <w:b/>
          <w:szCs w:val="24"/>
        </w:rPr>
        <w:t>savinjske</w:t>
      </w:r>
      <w:r w:rsidRPr="00142317">
        <w:rPr>
          <w:rFonts w:cs="Calibri"/>
          <w:b/>
          <w:szCs w:val="24"/>
        </w:rPr>
        <w:t xml:space="preserve"> regije v 20</w:t>
      </w:r>
      <w:r w:rsidR="00D137EE">
        <w:rPr>
          <w:rFonts w:cs="Calibri"/>
          <w:b/>
          <w:szCs w:val="24"/>
        </w:rPr>
        <w:t>20</w:t>
      </w:r>
    </w:p>
    <w:p w:rsidR="005C1F1A" w:rsidRDefault="00763DD0" w:rsidP="002436A8">
      <w:pPr>
        <w:spacing w:before="240" w:after="0" w:line="260" w:lineRule="atLeast"/>
      </w:pPr>
      <w:r w:rsidRPr="00763DD0">
        <w:rPr>
          <w:noProof/>
          <w:lang w:eastAsia="sl-SI"/>
        </w:rPr>
        <w:drawing>
          <wp:inline distT="0" distB="0" distL="0" distR="0" wp14:anchorId="31014039" wp14:editId="4045F6B8">
            <wp:extent cx="4462818" cy="3398293"/>
            <wp:effectExtent l="0" t="0" r="0" b="12065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A24D749-1CB5-4304-BAA0-6ECE6FE187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7B3A89" w:rsidRDefault="007B3A89" w:rsidP="002F4656">
      <w:pPr>
        <w:spacing w:before="240" w:after="0" w:line="260" w:lineRule="atLeast"/>
      </w:pPr>
    </w:p>
    <w:p w:rsidR="00035BB4" w:rsidRDefault="002F4656" w:rsidP="002F4656">
      <w:pPr>
        <w:spacing w:before="240" w:after="0" w:line="260" w:lineRule="atLeast"/>
      </w:pPr>
      <w:r>
        <w:t xml:space="preserve">Celje, </w:t>
      </w:r>
      <w:r w:rsidR="00035BB4">
        <w:t>21. 5. 2021</w:t>
      </w:r>
    </w:p>
    <w:sectPr w:rsidR="00035BB4" w:rsidSect="00EF227E">
      <w:headerReference w:type="default" r:id="rId17"/>
      <w:footerReference w:type="default" r:id="rId18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08" w:rsidRDefault="000D5C08" w:rsidP="00A51E63">
      <w:pPr>
        <w:spacing w:after="0" w:line="240" w:lineRule="auto"/>
      </w:pPr>
      <w:r>
        <w:separator/>
      </w:r>
    </w:p>
  </w:endnote>
  <w:endnote w:type="continuationSeparator" w:id="0">
    <w:p w:rsidR="000D5C08" w:rsidRDefault="000D5C08" w:rsidP="00A5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3" w:rsidRDefault="00A51E63">
    <w:pPr>
      <w:pStyle w:val="Noga"/>
    </w:pPr>
    <w:r>
      <w:rPr>
        <w:noProof/>
        <w:lang w:eastAsia="sl-SI"/>
      </w:rPr>
      <w:drawing>
        <wp:inline distT="0" distB="0" distL="0" distR="0" wp14:anchorId="77D74AE8" wp14:editId="1961A4EA">
          <wp:extent cx="6116320" cy="330200"/>
          <wp:effectExtent l="0" t="0" r="0" b="0"/>
          <wp:docPr id="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_dopisa_izpostava 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08" w:rsidRDefault="000D5C08" w:rsidP="00A51E63">
      <w:pPr>
        <w:spacing w:after="0" w:line="240" w:lineRule="auto"/>
      </w:pPr>
      <w:r>
        <w:separator/>
      </w:r>
    </w:p>
  </w:footnote>
  <w:footnote w:type="continuationSeparator" w:id="0">
    <w:p w:rsidR="000D5C08" w:rsidRDefault="000D5C08" w:rsidP="00A5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3" w:rsidRDefault="00A51E63" w:rsidP="00A51E63">
    <w:pPr>
      <w:pStyle w:val="Glava"/>
    </w:pPr>
    <w:r>
      <w:rPr>
        <w:noProof/>
        <w:lang w:eastAsia="sl-SI"/>
      </w:rPr>
      <w:drawing>
        <wp:inline distT="0" distB="0" distL="0" distR="0" wp14:anchorId="2337D580" wp14:editId="30064394">
          <wp:extent cx="6116320" cy="683260"/>
          <wp:effectExtent l="0" t="0" r="0" b="2540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pik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63"/>
    <w:rsid w:val="00035BB4"/>
    <w:rsid w:val="00036590"/>
    <w:rsid w:val="000419E5"/>
    <w:rsid w:val="00064BD9"/>
    <w:rsid w:val="000663A0"/>
    <w:rsid w:val="000A2C53"/>
    <w:rsid w:val="000D5C08"/>
    <w:rsid w:val="000D7834"/>
    <w:rsid w:val="000E14C3"/>
    <w:rsid w:val="00115736"/>
    <w:rsid w:val="0012465C"/>
    <w:rsid w:val="00142317"/>
    <w:rsid w:val="00161181"/>
    <w:rsid w:val="00191F71"/>
    <w:rsid w:val="001C115F"/>
    <w:rsid w:val="00227C1B"/>
    <w:rsid w:val="002436A8"/>
    <w:rsid w:val="002639F0"/>
    <w:rsid w:val="00281DCE"/>
    <w:rsid w:val="002F4656"/>
    <w:rsid w:val="003B5057"/>
    <w:rsid w:val="00441D68"/>
    <w:rsid w:val="00455EA8"/>
    <w:rsid w:val="00472ADE"/>
    <w:rsid w:val="00476808"/>
    <w:rsid w:val="00492344"/>
    <w:rsid w:val="00494291"/>
    <w:rsid w:val="004D0697"/>
    <w:rsid w:val="004E7D32"/>
    <w:rsid w:val="00506461"/>
    <w:rsid w:val="0055063D"/>
    <w:rsid w:val="00575F70"/>
    <w:rsid w:val="00584660"/>
    <w:rsid w:val="005C0ADB"/>
    <w:rsid w:val="005C1F1A"/>
    <w:rsid w:val="00661EA8"/>
    <w:rsid w:val="00683244"/>
    <w:rsid w:val="007211CD"/>
    <w:rsid w:val="00742DC3"/>
    <w:rsid w:val="00763DD0"/>
    <w:rsid w:val="007B3A89"/>
    <w:rsid w:val="007B64A9"/>
    <w:rsid w:val="00847913"/>
    <w:rsid w:val="00875B40"/>
    <w:rsid w:val="00976BC5"/>
    <w:rsid w:val="00987233"/>
    <w:rsid w:val="00A316F6"/>
    <w:rsid w:val="00A51E63"/>
    <w:rsid w:val="00A91602"/>
    <w:rsid w:val="00AA141F"/>
    <w:rsid w:val="00AB04A1"/>
    <w:rsid w:val="00AC4F8F"/>
    <w:rsid w:val="00B0453E"/>
    <w:rsid w:val="00B06C44"/>
    <w:rsid w:val="00B8027D"/>
    <w:rsid w:val="00BE5C1E"/>
    <w:rsid w:val="00C201F2"/>
    <w:rsid w:val="00C93D1C"/>
    <w:rsid w:val="00CC6F6E"/>
    <w:rsid w:val="00D137EE"/>
    <w:rsid w:val="00D23B3A"/>
    <w:rsid w:val="00D32C86"/>
    <w:rsid w:val="00D55807"/>
    <w:rsid w:val="00D74C57"/>
    <w:rsid w:val="00D84B8B"/>
    <w:rsid w:val="00DA665F"/>
    <w:rsid w:val="00E0734A"/>
    <w:rsid w:val="00E07E45"/>
    <w:rsid w:val="00E4132A"/>
    <w:rsid w:val="00E629CC"/>
    <w:rsid w:val="00E73869"/>
    <w:rsid w:val="00EF227E"/>
    <w:rsid w:val="00F11218"/>
    <w:rsid w:val="00F44DEC"/>
    <w:rsid w:val="00F454B9"/>
    <w:rsid w:val="00FB2D65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1E63"/>
  </w:style>
  <w:style w:type="paragraph" w:styleId="Noga">
    <w:name w:val="footer"/>
    <w:basedOn w:val="Navaden"/>
    <w:link w:val="NogaZnak"/>
    <w:uiPriority w:val="99"/>
    <w:unhideWhenUsed/>
    <w:rsid w:val="00A5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1E63"/>
  </w:style>
  <w:style w:type="table" w:customStyle="1" w:styleId="GridTable4Accent1">
    <w:name w:val="Grid Table 4 Accent 1"/>
    <w:basedOn w:val="Navadnatabela"/>
    <w:uiPriority w:val="49"/>
    <w:rsid w:val="001423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dstavekseznama">
    <w:name w:val="List Paragraph"/>
    <w:basedOn w:val="Navaden"/>
    <w:uiPriority w:val="34"/>
    <w:qFormat/>
    <w:rsid w:val="005C1F1A"/>
    <w:pPr>
      <w:spacing w:after="0" w:line="360" w:lineRule="auto"/>
      <w:ind w:left="720"/>
      <w:contextualSpacing/>
      <w:jc w:val="both"/>
    </w:pPr>
    <w:rPr>
      <w:rFonts w:ascii="Calibri" w:hAnsi="Calibri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5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5C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1E63"/>
  </w:style>
  <w:style w:type="paragraph" w:styleId="Noga">
    <w:name w:val="footer"/>
    <w:basedOn w:val="Navaden"/>
    <w:link w:val="NogaZnak"/>
    <w:uiPriority w:val="99"/>
    <w:unhideWhenUsed/>
    <w:rsid w:val="00A5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1E63"/>
  </w:style>
  <w:style w:type="table" w:customStyle="1" w:styleId="GridTable4Accent1">
    <w:name w:val="Grid Table 4 Accent 1"/>
    <w:basedOn w:val="Navadnatabela"/>
    <w:uiPriority w:val="49"/>
    <w:rsid w:val="001423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dstavekseznama">
    <w:name w:val="List Paragraph"/>
    <w:basedOn w:val="Navaden"/>
    <w:uiPriority w:val="34"/>
    <w:qFormat/>
    <w:rsid w:val="005C1F1A"/>
    <w:pPr>
      <w:spacing w:after="0" w:line="360" w:lineRule="auto"/>
      <w:ind w:left="720"/>
      <w:contextualSpacing/>
      <w:jc w:val="both"/>
    </w:pPr>
    <w:rPr>
      <w:rFonts w:ascii="Calibri" w:hAnsi="Calibri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5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5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FCFED2-17A4-4C3A-8461-A62A3ABCB545}" type="doc">
      <dgm:prSet loTypeId="urn:microsoft.com/office/officeart/2011/layout/HexagonRadial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sl-SI"/>
        </a:p>
      </dgm:t>
    </dgm:pt>
    <dgm:pt modelId="{F456FD2C-2DDB-48A7-9A04-1193244C4907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neto čista izguba</a:t>
          </a:r>
        </a:p>
        <a:p>
          <a:r>
            <a:rPr lang="sl-SI" sz="1100" b="0" dirty="0"/>
            <a:t>- 59 mio EUR</a:t>
          </a:r>
        </a:p>
      </dgm:t>
    </dgm:pt>
    <dgm:pt modelId="{1A2ABACA-CEB2-49B8-9F3B-B326090FDCCE}" type="parTrans" cxnId="{0ADE0F73-596C-4273-A72C-42A4E46C5A82}">
      <dgm:prSet/>
      <dgm:spPr/>
      <dgm:t>
        <a:bodyPr/>
        <a:lstStyle/>
        <a:p>
          <a:endParaRPr lang="sl-SI"/>
        </a:p>
      </dgm:t>
    </dgm:pt>
    <dgm:pt modelId="{5A6E0061-1D48-41B5-9DC1-8BA28F8C94E1}" type="sibTrans" cxnId="{0ADE0F73-596C-4273-A72C-42A4E46C5A82}">
      <dgm:prSet/>
      <dgm:spPr/>
      <dgm:t>
        <a:bodyPr/>
        <a:lstStyle/>
        <a:p>
          <a:endParaRPr lang="sl-SI"/>
        </a:p>
      </dgm:t>
    </dgm:pt>
    <dgm:pt modelId="{6DCC9AB1-3AE1-44EA-AA58-EDE64046ED23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prihodki</a:t>
          </a:r>
        </a:p>
        <a:p>
          <a:r>
            <a:rPr lang="sl-SI" sz="1100" b="0" dirty="0"/>
            <a:t>9.660 mio EUR</a:t>
          </a:r>
        </a:p>
        <a:p>
          <a:r>
            <a:rPr lang="sl-SI" sz="1100" b="0" dirty="0"/>
            <a:t>+ 0 %</a:t>
          </a:r>
        </a:p>
      </dgm:t>
    </dgm:pt>
    <dgm:pt modelId="{7A933073-56F9-4102-A6CB-1A4EE5C23441}" type="parTrans" cxnId="{0D1AFEB8-A3AF-4AAE-9DFF-F3051158AF26}">
      <dgm:prSet/>
      <dgm:spPr/>
      <dgm:t>
        <a:bodyPr/>
        <a:lstStyle/>
        <a:p>
          <a:endParaRPr lang="sl-SI"/>
        </a:p>
      </dgm:t>
    </dgm:pt>
    <dgm:pt modelId="{65791145-DB0A-4280-86EA-AB3067318806}" type="sibTrans" cxnId="{0D1AFEB8-A3AF-4AAE-9DFF-F3051158AF26}">
      <dgm:prSet/>
      <dgm:spPr/>
      <dgm:t>
        <a:bodyPr/>
        <a:lstStyle/>
        <a:p>
          <a:endParaRPr lang="sl-SI"/>
        </a:p>
      </dgm:t>
    </dgm:pt>
    <dgm:pt modelId="{C54AE8CD-D2B8-44AF-B99A-12BC9FA6BAEB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prihodki tuji trg</a:t>
          </a:r>
        </a:p>
        <a:p>
          <a:r>
            <a:rPr lang="sl-SI" sz="1100" b="0" dirty="0"/>
            <a:t>4.208 mio EUR</a:t>
          </a:r>
        </a:p>
        <a:p>
          <a:r>
            <a:rPr lang="sl-SI" sz="1100" b="0" dirty="0"/>
            <a:t>+ 5 %</a:t>
          </a:r>
        </a:p>
      </dgm:t>
    </dgm:pt>
    <dgm:pt modelId="{88CAE0EE-887C-460F-BF13-7E64D6A8C6E7}" type="parTrans" cxnId="{33E159E1-8416-4C14-9655-16471604BBF0}">
      <dgm:prSet/>
      <dgm:spPr/>
      <dgm:t>
        <a:bodyPr/>
        <a:lstStyle/>
        <a:p>
          <a:endParaRPr lang="sl-SI"/>
        </a:p>
      </dgm:t>
    </dgm:pt>
    <dgm:pt modelId="{0D06D53F-23EA-4C92-BCA0-2E293C47B029}" type="sibTrans" cxnId="{33E159E1-8416-4C14-9655-16471604BBF0}">
      <dgm:prSet/>
      <dgm:spPr/>
      <dgm:t>
        <a:bodyPr/>
        <a:lstStyle/>
        <a:p>
          <a:endParaRPr lang="sl-SI"/>
        </a:p>
      </dgm:t>
    </dgm:pt>
    <dgm:pt modelId="{36E3E3E8-4248-45DA-B723-421C5D16B8C7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odhodki</a:t>
          </a:r>
        </a:p>
        <a:p>
          <a:r>
            <a:rPr lang="sl-SI" sz="1100" b="0" dirty="0"/>
            <a:t>9.663 mio EUR</a:t>
          </a:r>
        </a:p>
        <a:p>
          <a:r>
            <a:rPr lang="sl-SI" sz="1100" b="0" dirty="0"/>
            <a:t>+ 3 %</a:t>
          </a:r>
        </a:p>
      </dgm:t>
    </dgm:pt>
    <dgm:pt modelId="{87D2D7A8-6360-4014-824B-BCA174396D0F}" type="parTrans" cxnId="{61987A61-CA6D-4B1E-8D5D-268A2A9DB044}">
      <dgm:prSet/>
      <dgm:spPr/>
      <dgm:t>
        <a:bodyPr/>
        <a:lstStyle/>
        <a:p>
          <a:endParaRPr lang="sl-SI"/>
        </a:p>
      </dgm:t>
    </dgm:pt>
    <dgm:pt modelId="{430E23A4-1C55-42C7-B17F-9B607663377B}" type="sibTrans" cxnId="{61987A61-CA6D-4B1E-8D5D-268A2A9DB044}">
      <dgm:prSet/>
      <dgm:spPr/>
      <dgm:t>
        <a:bodyPr/>
        <a:lstStyle/>
        <a:p>
          <a:endParaRPr lang="sl-SI"/>
        </a:p>
      </dgm:t>
    </dgm:pt>
    <dgm:pt modelId="{F9441702-84D7-4658-9A61-388D3C10BE4A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neto </a:t>
          </a:r>
          <a:r>
            <a:rPr lang="sl-SI" sz="1100" b="0" dirty="0" err="1"/>
            <a:t>dod</a:t>
          </a:r>
          <a:r>
            <a:rPr lang="sl-SI" sz="1100" b="0" dirty="0"/>
            <a:t>. vrednost</a:t>
          </a:r>
        </a:p>
        <a:p>
          <a:r>
            <a:rPr lang="sl-SI" sz="1100" b="0" dirty="0"/>
            <a:t>2.496 mio EUR</a:t>
          </a:r>
        </a:p>
        <a:p>
          <a:r>
            <a:rPr lang="sl-SI" sz="1100" b="0" dirty="0"/>
            <a:t>+ 1 %</a:t>
          </a:r>
        </a:p>
      </dgm:t>
    </dgm:pt>
    <dgm:pt modelId="{1159130B-9BE3-4669-BA31-2B84A84044A5}" type="parTrans" cxnId="{4DC0CF9E-9CD9-4D73-B2A5-77C64FC4C964}">
      <dgm:prSet/>
      <dgm:spPr/>
      <dgm:t>
        <a:bodyPr/>
        <a:lstStyle/>
        <a:p>
          <a:endParaRPr lang="sl-SI"/>
        </a:p>
      </dgm:t>
    </dgm:pt>
    <dgm:pt modelId="{F56F4248-4C6F-4CA9-BF76-27039EF26803}" type="sibTrans" cxnId="{4DC0CF9E-9CD9-4D73-B2A5-77C64FC4C964}">
      <dgm:prSet/>
      <dgm:spPr/>
      <dgm:t>
        <a:bodyPr/>
        <a:lstStyle/>
        <a:p>
          <a:endParaRPr lang="sl-SI"/>
        </a:p>
      </dgm:t>
    </dgm:pt>
    <dgm:pt modelId="{42F72DBD-4541-4416-8232-4C6E32BDB908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neto dod. vrednost na zaposlenega</a:t>
          </a:r>
        </a:p>
        <a:p>
          <a:r>
            <a:rPr lang="sl-SI" sz="1100" b="0" dirty="0"/>
            <a:t>41.233 EUR</a:t>
          </a:r>
        </a:p>
        <a:p>
          <a:r>
            <a:rPr lang="sl-SI" sz="1100" b="0" dirty="0"/>
            <a:t>+ 4 %</a:t>
          </a:r>
        </a:p>
      </dgm:t>
    </dgm:pt>
    <dgm:pt modelId="{E63EF092-4B07-4122-875A-08F81543E36E}" type="parTrans" cxnId="{F9F361F9-13D6-4117-AE30-8677B98CEE49}">
      <dgm:prSet/>
      <dgm:spPr/>
      <dgm:t>
        <a:bodyPr/>
        <a:lstStyle/>
        <a:p>
          <a:endParaRPr lang="sl-SI"/>
        </a:p>
      </dgm:t>
    </dgm:pt>
    <dgm:pt modelId="{E262D515-072A-4B37-9316-07D142E20426}" type="sibTrans" cxnId="{F9F361F9-13D6-4117-AE30-8677B98CEE49}">
      <dgm:prSet/>
      <dgm:spPr/>
      <dgm:t>
        <a:bodyPr/>
        <a:lstStyle/>
        <a:p>
          <a:endParaRPr lang="sl-SI"/>
        </a:p>
      </dgm:t>
    </dgm:pt>
    <dgm:pt modelId="{B3893E85-6146-4D45-BF1D-B6B25FC246E0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b="0" dirty="0"/>
            <a:t>bruto plača</a:t>
          </a:r>
        </a:p>
        <a:p>
          <a:r>
            <a:rPr lang="sl-SI" sz="1100" b="0" dirty="0"/>
            <a:t>1.593 EUR</a:t>
          </a:r>
        </a:p>
        <a:p>
          <a:r>
            <a:rPr lang="sl-SI" sz="1100" b="0" dirty="0"/>
            <a:t>+ 2 %</a:t>
          </a:r>
        </a:p>
      </dgm:t>
    </dgm:pt>
    <dgm:pt modelId="{C1CF8F87-17A4-416E-BEC2-70789C1AC9EE}" type="parTrans" cxnId="{1DFF9A9C-8143-46FB-AD31-2E729C6C4418}">
      <dgm:prSet/>
      <dgm:spPr/>
      <dgm:t>
        <a:bodyPr/>
        <a:lstStyle/>
        <a:p>
          <a:endParaRPr lang="sl-SI"/>
        </a:p>
      </dgm:t>
    </dgm:pt>
    <dgm:pt modelId="{57C8920B-4257-4EAE-84EB-B300532400E5}" type="sibTrans" cxnId="{1DFF9A9C-8143-46FB-AD31-2E729C6C4418}">
      <dgm:prSet/>
      <dgm:spPr/>
      <dgm:t>
        <a:bodyPr/>
        <a:lstStyle/>
        <a:p>
          <a:endParaRPr lang="sl-SI"/>
        </a:p>
      </dgm:t>
    </dgm:pt>
    <dgm:pt modelId="{118FC7E8-6D0C-4095-85F2-4780FE49CE84}" type="pres">
      <dgm:prSet presAssocID="{A4FCFED2-17A4-4C3A-8461-A62A3ABCB54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sl-SI"/>
        </a:p>
      </dgm:t>
    </dgm:pt>
    <dgm:pt modelId="{BDE35D65-B11B-4AF8-91B5-44ADC65F3ED3}" type="pres">
      <dgm:prSet presAssocID="{F456FD2C-2DDB-48A7-9A04-1193244C4907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sl-SI"/>
        </a:p>
      </dgm:t>
    </dgm:pt>
    <dgm:pt modelId="{C82A763A-811F-44E5-A627-B963DF592399}" type="pres">
      <dgm:prSet presAssocID="{6DCC9AB1-3AE1-44EA-AA58-EDE64046ED23}" presName="Accent1" presStyleCnt="0"/>
      <dgm:spPr/>
    </dgm:pt>
    <dgm:pt modelId="{42FB37D9-3147-43BD-8680-5294AED3520B}" type="pres">
      <dgm:prSet presAssocID="{6DCC9AB1-3AE1-44EA-AA58-EDE64046ED23}" presName="Accent" presStyleLbl="bgShp" presStyleIdx="0" presStyleCnt="6"/>
      <dgm:spPr/>
    </dgm:pt>
    <dgm:pt modelId="{EED4A0EF-6648-4372-96C5-F8B5DC5CFD8A}" type="pres">
      <dgm:prSet presAssocID="{6DCC9AB1-3AE1-44EA-AA58-EDE64046ED23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4A57D08-5B4A-4B0B-8F4B-145FFA2E1283}" type="pres">
      <dgm:prSet presAssocID="{C54AE8CD-D2B8-44AF-B99A-12BC9FA6BAEB}" presName="Accent2" presStyleCnt="0"/>
      <dgm:spPr/>
    </dgm:pt>
    <dgm:pt modelId="{A79788A8-F3A3-4482-896E-88DEEE3FA341}" type="pres">
      <dgm:prSet presAssocID="{C54AE8CD-D2B8-44AF-B99A-12BC9FA6BAEB}" presName="Accent" presStyleLbl="bgShp" presStyleIdx="1" presStyleCnt="6"/>
      <dgm:spPr>
        <a:solidFill>
          <a:srgbClr val="0077C8"/>
        </a:solidFill>
      </dgm:spPr>
    </dgm:pt>
    <dgm:pt modelId="{35125649-FA96-4530-8A0C-DFBE4829B5C0}" type="pres">
      <dgm:prSet presAssocID="{C54AE8CD-D2B8-44AF-B99A-12BC9FA6BAEB}" presName="Child2" presStyleLbl="node1" presStyleIdx="1" presStyleCnt="6" custLinFactNeighborY="-178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5A58C60-037C-4CB2-BCC9-997A3A77067E}" type="pres">
      <dgm:prSet presAssocID="{36E3E3E8-4248-45DA-B723-421C5D16B8C7}" presName="Accent3" presStyleCnt="0"/>
      <dgm:spPr/>
    </dgm:pt>
    <dgm:pt modelId="{1BFCCFE5-8134-4F0C-8CFB-E17E79E8B3F7}" type="pres">
      <dgm:prSet presAssocID="{36E3E3E8-4248-45DA-B723-421C5D16B8C7}" presName="Accent" presStyleLbl="bgShp" presStyleIdx="2" presStyleCnt="6"/>
      <dgm:spPr>
        <a:solidFill>
          <a:srgbClr val="0077C8"/>
        </a:solidFill>
      </dgm:spPr>
    </dgm:pt>
    <dgm:pt modelId="{EB4CC1B4-EBB7-49B4-ACED-1C4B9969040A}" type="pres">
      <dgm:prSet presAssocID="{36E3E3E8-4248-45DA-B723-421C5D16B8C7}" presName="Child3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0FAB856-9B8C-4EAD-B64E-0F8776E25B29}" type="pres">
      <dgm:prSet presAssocID="{F9441702-84D7-4658-9A61-388D3C10BE4A}" presName="Accent4" presStyleCnt="0"/>
      <dgm:spPr/>
    </dgm:pt>
    <dgm:pt modelId="{DF8EE2E3-F424-4C1D-8C1D-37970CBDC1CD}" type="pres">
      <dgm:prSet presAssocID="{F9441702-84D7-4658-9A61-388D3C10BE4A}" presName="Accent" presStyleLbl="bgShp" presStyleIdx="3" presStyleCnt="6"/>
      <dgm:spPr>
        <a:solidFill>
          <a:srgbClr val="0077C8"/>
        </a:solidFill>
      </dgm:spPr>
    </dgm:pt>
    <dgm:pt modelId="{1CA2AA0F-B1B0-4509-9A35-9D0957BABEB0}" type="pres">
      <dgm:prSet presAssocID="{F9441702-84D7-4658-9A61-388D3C10BE4A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5B67912-C955-4753-9233-AFDEABED95CC}" type="pres">
      <dgm:prSet presAssocID="{42F72DBD-4541-4416-8232-4C6E32BDB908}" presName="Accent5" presStyleCnt="0"/>
      <dgm:spPr/>
    </dgm:pt>
    <dgm:pt modelId="{8143E937-6FA6-4905-8605-82FAFCA11EC7}" type="pres">
      <dgm:prSet presAssocID="{42F72DBD-4541-4416-8232-4C6E32BDB908}" presName="Accent" presStyleLbl="bgShp" presStyleIdx="4" presStyleCnt="6"/>
      <dgm:spPr>
        <a:solidFill>
          <a:srgbClr val="0077C8"/>
        </a:solidFill>
      </dgm:spPr>
    </dgm:pt>
    <dgm:pt modelId="{160A69E8-890E-4944-9B6B-3B00B42F7A28}" type="pres">
      <dgm:prSet presAssocID="{42F72DBD-4541-4416-8232-4C6E32BDB908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9D33D68-327B-4219-BA75-DA897FBAEF48}" type="pres">
      <dgm:prSet presAssocID="{B3893E85-6146-4D45-BF1D-B6B25FC246E0}" presName="Accent6" presStyleCnt="0"/>
      <dgm:spPr/>
    </dgm:pt>
    <dgm:pt modelId="{2B6708DB-F32F-4A57-B6B3-73A9A0CB7B9A}" type="pres">
      <dgm:prSet presAssocID="{B3893E85-6146-4D45-BF1D-B6B25FC246E0}" presName="Accent" presStyleLbl="bgShp" presStyleIdx="5" presStyleCnt="6"/>
      <dgm:spPr>
        <a:solidFill>
          <a:srgbClr val="0077C8"/>
        </a:solidFill>
      </dgm:spPr>
    </dgm:pt>
    <dgm:pt modelId="{F8EB385C-C81C-4D3B-BB85-FBFCF27E2389}" type="pres">
      <dgm:prSet presAssocID="{B3893E85-6146-4D45-BF1D-B6B25FC246E0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BDC95EB1-F4F1-446D-9707-554CB8FF90F7}" type="presOf" srcId="{42F72DBD-4541-4416-8232-4C6E32BDB908}" destId="{160A69E8-890E-4944-9B6B-3B00B42F7A28}" srcOrd="0" destOrd="0" presId="urn:microsoft.com/office/officeart/2011/layout/HexagonRadial"/>
    <dgm:cxn modelId="{D5162D2D-A02E-48F9-A6DD-220BE89EC11C}" type="presOf" srcId="{A4FCFED2-17A4-4C3A-8461-A62A3ABCB545}" destId="{118FC7E8-6D0C-4095-85F2-4780FE49CE84}" srcOrd="0" destOrd="0" presId="urn:microsoft.com/office/officeart/2011/layout/HexagonRadial"/>
    <dgm:cxn modelId="{05ACC9CA-956C-4C4C-A5EA-9A60947F5B09}" type="presOf" srcId="{B3893E85-6146-4D45-BF1D-B6B25FC246E0}" destId="{F8EB385C-C81C-4D3B-BB85-FBFCF27E2389}" srcOrd="0" destOrd="0" presId="urn:microsoft.com/office/officeart/2011/layout/HexagonRadial"/>
    <dgm:cxn modelId="{0D1AFEB8-A3AF-4AAE-9DFF-F3051158AF26}" srcId="{F456FD2C-2DDB-48A7-9A04-1193244C4907}" destId="{6DCC9AB1-3AE1-44EA-AA58-EDE64046ED23}" srcOrd="0" destOrd="0" parTransId="{7A933073-56F9-4102-A6CB-1A4EE5C23441}" sibTransId="{65791145-DB0A-4280-86EA-AB3067318806}"/>
    <dgm:cxn modelId="{33E159E1-8416-4C14-9655-16471604BBF0}" srcId="{F456FD2C-2DDB-48A7-9A04-1193244C4907}" destId="{C54AE8CD-D2B8-44AF-B99A-12BC9FA6BAEB}" srcOrd="1" destOrd="0" parTransId="{88CAE0EE-887C-460F-BF13-7E64D6A8C6E7}" sibTransId="{0D06D53F-23EA-4C92-BCA0-2E293C47B029}"/>
    <dgm:cxn modelId="{F9F361F9-13D6-4117-AE30-8677B98CEE49}" srcId="{F456FD2C-2DDB-48A7-9A04-1193244C4907}" destId="{42F72DBD-4541-4416-8232-4C6E32BDB908}" srcOrd="4" destOrd="0" parTransId="{E63EF092-4B07-4122-875A-08F81543E36E}" sibTransId="{E262D515-072A-4B37-9316-07D142E20426}"/>
    <dgm:cxn modelId="{4DC0CF9E-9CD9-4D73-B2A5-77C64FC4C964}" srcId="{F456FD2C-2DDB-48A7-9A04-1193244C4907}" destId="{F9441702-84D7-4658-9A61-388D3C10BE4A}" srcOrd="3" destOrd="0" parTransId="{1159130B-9BE3-4669-BA31-2B84A84044A5}" sibTransId="{F56F4248-4C6F-4CA9-BF76-27039EF26803}"/>
    <dgm:cxn modelId="{1A3D5B00-2881-4DC7-B7CC-26AC84E3C79D}" type="presOf" srcId="{C54AE8CD-D2B8-44AF-B99A-12BC9FA6BAEB}" destId="{35125649-FA96-4530-8A0C-DFBE4829B5C0}" srcOrd="0" destOrd="0" presId="urn:microsoft.com/office/officeart/2011/layout/HexagonRadial"/>
    <dgm:cxn modelId="{61987A61-CA6D-4B1E-8D5D-268A2A9DB044}" srcId="{F456FD2C-2DDB-48A7-9A04-1193244C4907}" destId="{36E3E3E8-4248-45DA-B723-421C5D16B8C7}" srcOrd="2" destOrd="0" parTransId="{87D2D7A8-6360-4014-824B-BCA174396D0F}" sibTransId="{430E23A4-1C55-42C7-B17F-9B607663377B}"/>
    <dgm:cxn modelId="{482AF4EE-B163-4762-9D05-FB7A1A7916D8}" type="presOf" srcId="{6DCC9AB1-3AE1-44EA-AA58-EDE64046ED23}" destId="{EED4A0EF-6648-4372-96C5-F8B5DC5CFD8A}" srcOrd="0" destOrd="0" presId="urn:microsoft.com/office/officeart/2011/layout/HexagonRadial"/>
    <dgm:cxn modelId="{D0780B20-7E30-4425-9140-3DC99773F805}" type="presOf" srcId="{F9441702-84D7-4658-9A61-388D3C10BE4A}" destId="{1CA2AA0F-B1B0-4509-9A35-9D0957BABEB0}" srcOrd="0" destOrd="0" presId="urn:microsoft.com/office/officeart/2011/layout/HexagonRadial"/>
    <dgm:cxn modelId="{C2C30BB5-E83F-406B-86A8-9FFBC42470C2}" type="presOf" srcId="{36E3E3E8-4248-45DA-B723-421C5D16B8C7}" destId="{EB4CC1B4-EBB7-49B4-ACED-1C4B9969040A}" srcOrd="0" destOrd="0" presId="urn:microsoft.com/office/officeart/2011/layout/HexagonRadial"/>
    <dgm:cxn modelId="{0ADE0F73-596C-4273-A72C-42A4E46C5A82}" srcId="{A4FCFED2-17A4-4C3A-8461-A62A3ABCB545}" destId="{F456FD2C-2DDB-48A7-9A04-1193244C4907}" srcOrd="0" destOrd="0" parTransId="{1A2ABACA-CEB2-49B8-9F3B-B326090FDCCE}" sibTransId="{5A6E0061-1D48-41B5-9DC1-8BA28F8C94E1}"/>
    <dgm:cxn modelId="{C4683960-A9BA-477D-94B2-47AC7A0FE99D}" type="presOf" srcId="{F456FD2C-2DDB-48A7-9A04-1193244C4907}" destId="{BDE35D65-B11B-4AF8-91B5-44ADC65F3ED3}" srcOrd="0" destOrd="0" presId="urn:microsoft.com/office/officeart/2011/layout/HexagonRadial"/>
    <dgm:cxn modelId="{1DFF9A9C-8143-46FB-AD31-2E729C6C4418}" srcId="{F456FD2C-2DDB-48A7-9A04-1193244C4907}" destId="{B3893E85-6146-4D45-BF1D-B6B25FC246E0}" srcOrd="5" destOrd="0" parTransId="{C1CF8F87-17A4-416E-BEC2-70789C1AC9EE}" sibTransId="{57C8920B-4257-4EAE-84EB-B300532400E5}"/>
    <dgm:cxn modelId="{F49CF864-EEDA-4886-AD28-3FDA1855F76F}" type="presParOf" srcId="{118FC7E8-6D0C-4095-85F2-4780FE49CE84}" destId="{BDE35D65-B11B-4AF8-91B5-44ADC65F3ED3}" srcOrd="0" destOrd="0" presId="urn:microsoft.com/office/officeart/2011/layout/HexagonRadial"/>
    <dgm:cxn modelId="{CF362FA4-E0A1-4E38-8FA7-48AE85E49BBB}" type="presParOf" srcId="{118FC7E8-6D0C-4095-85F2-4780FE49CE84}" destId="{C82A763A-811F-44E5-A627-B963DF592399}" srcOrd="1" destOrd="0" presId="urn:microsoft.com/office/officeart/2011/layout/HexagonRadial"/>
    <dgm:cxn modelId="{535316C5-2774-41AB-A392-85FC7F254659}" type="presParOf" srcId="{C82A763A-811F-44E5-A627-B963DF592399}" destId="{42FB37D9-3147-43BD-8680-5294AED3520B}" srcOrd="0" destOrd="0" presId="urn:microsoft.com/office/officeart/2011/layout/HexagonRadial"/>
    <dgm:cxn modelId="{24885A49-EA01-4A99-AF4A-964C59D03FFE}" type="presParOf" srcId="{118FC7E8-6D0C-4095-85F2-4780FE49CE84}" destId="{EED4A0EF-6648-4372-96C5-F8B5DC5CFD8A}" srcOrd="2" destOrd="0" presId="urn:microsoft.com/office/officeart/2011/layout/HexagonRadial"/>
    <dgm:cxn modelId="{DDC9FEAE-9742-4C67-B911-D77ED1E6A44F}" type="presParOf" srcId="{118FC7E8-6D0C-4095-85F2-4780FE49CE84}" destId="{24A57D08-5B4A-4B0B-8F4B-145FFA2E1283}" srcOrd="3" destOrd="0" presId="urn:microsoft.com/office/officeart/2011/layout/HexagonRadial"/>
    <dgm:cxn modelId="{9071915A-CF3E-4FE6-975B-D7204BD12BC5}" type="presParOf" srcId="{24A57D08-5B4A-4B0B-8F4B-145FFA2E1283}" destId="{A79788A8-F3A3-4482-896E-88DEEE3FA341}" srcOrd="0" destOrd="0" presId="urn:microsoft.com/office/officeart/2011/layout/HexagonRadial"/>
    <dgm:cxn modelId="{C1239C16-38A6-4EA5-AD4D-5A6C7D02CC3F}" type="presParOf" srcId="{118FC7E8-6D0C-4095-85F2-4780FE49CE84}" destId="{35125649-FA96-4530-8A0C-DFBE4829B5C0}" srcOrd="4" destOrd="0" presId="urn:microsoft.com/office/officeart/2011/layout/HexagonRadial"/>
    <dgm:cxn modelId="{AA3DCDDA-9DF2-4D8C-84EF-A74FE34BD72A}" type="presParOf" srcId="{118FC7E8-6D0C-4095-85F2-4780FE49CE84}" destId="{D5A58C60-037C-4CB2-BCC9-997A3A77067E}" srcOrd="5" destOrd="0" presId="urn:microsoft.com/office/officeart/2011/layout/HexagonRadial"/>
    <dgm:cxn modelId="{9BFFB987-B690-45A9-8D32-130041978D2A}" type="presParOf" srcId="{D5A58C60-037C-4CB2-BCC9-997A3A77067E}" destId="{1BFCCFE5-8134-4F0C-8CFB-E17E79E8B3F7}" srcOrd="0" destOrd="0" presId="urn:microsoft.com/office/officeart/2011/layout/HexagonRadial"/>
    <dgm:cxn modelId="{BFBFAF2C-BA56-48AB-8854-6878FA896CE7}" type="presParOf" srcId="{118FC7E8-6D0C-4095-85F2-4780FE49CE84}" destId="{EB4CC1B4-EBB7-49B4-ACED-1C4B9969040A}" srcOrd="6" destOrd="0" presId="urn:microsoft.com/office/officeart/2011/layout/HexagonRadial"/>
    <dgm:cxn modelId="{EB6CC43A-0F2C-4CB6-BEF4-905F79BEDA9A}" type="presParOf" srcId="{118FC7E8-6D0C-4095-85F2-4780FE49CE84}" destId="{10FAB856-9B8C-4EAD-B64E-0F8776E25B29}" srcOrd="7" destOrd="0" presId="urn:microsoft.com/office/officeart/2011/layout/HexagonRadial"/>
    <dgm:cxn modelId="{DAED7889-DB9D-421D-A9E1-8C3183A26757}" type="presParOf" srcId="{10FAB856-9B8C-4EAD-B64E-0F8776E25B29}" destId="{DF8EE2E3-F424-4C1D-8C1D-37970CBDC1CD}" srcOrd="0" destOrd="0" presId="urn:microsoft.com/office/officeart/2011/layout/HexagonRadial"/>
    <dgm:cxn modelId="{DAE46C1C-7C9D-46CF-8627-A3C626362EE0}" type="presParOf" srcId="{118FC7E8-6D0C-4095-85F2-4780FE49CE84}" destId="{1CA2AA0F-B1B0-4509-9A35-9D0957BABEB0}" srcOrd="8" destOrd="0" presId="urn:microsoft.com/office/officeart/2011/layout/HexagonRadial"/>
    <dgm:cxn modelId="{A5280CE2-C29D-4250-AE01-6FF91C74701D}" type="presParOf" srcId="{118FC7E8-6D0C-4095-85F2-4780FE49CE84}" destId="{35B67912-C955-4753-9233-AFDEABED95CC}" srcOrd="9" destOrd="0" presId="urn:microsoft.com/office/officeart/2011/layout/HexagonRadial"/>
    <dgm:cxn modelId="{2C71D574-4806-41AB-9D05-4923D88FA46D}" type="presParOf" srcId="{35B67912-C955-4753-9233-AFDEABED95CC}" destId="{8143E937-6FA6-4905-8605-82FAFCA11EC7}" srcOrd="0" destOrd="0" presId="urn:microsoft.com/office/officeart/2011/layout/HexagonRadial"/>
    <dgm:cxn modelId="{70ABA022-B047-4A25-AD31-F048D3FA034A}" type="presParOf" srcId="{118FC7E8-6D0C-4095-85F2-4780FE49CE84}" destId="{160A69E8-890E-4944-9B6B-3B00B42F7A28}" srcOrd="10" destOrd="0" presId="urn:microsoft.com/office/officeart/2011/layout/HexagonRadial"/>
    <dgm:cxn modelId="{140BF314-EA18-47E1-AAE3-1E2A3943CD49}" type="presParOf" srcId="{118FC7E8-6D0C-4095-85F2-4780FE49CE84}" destId="{E9D33D68-327B-4219-BA75-DA897FBAEF48}" srcOrd="11" destOrd="0" presId="urn:microsoft.com/office/officeart/2011/layout/HexagonRadial"/>
    <dgm:cxn modelId="{5EA25C38-9ACB-4A54-BDEC-1B118F14F5B6}" type="presParOf" srcId="{E9D33D68-327B-4219-BA75-DA897FBAEF48}" destId="{2B6708DB-F32F-4A57-B6B3-73A9A0CB7B9A}" srcOrd="0" destOrd="0" presId="urn:microsoft.com/office/officeart/2011/layout/HexagonRadial"/>
    <dgm:cxn modelId="{9AD5343E-5FCE-4467-B62F-74AB87F20353}" type="presParOf" srcId="{118FC7E8-6D0C-4095-85F2-4780FE49CE84}" destId="{F8EB385C-C81C-4D3B-BB85-FBFCF27E2389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FCFED2-17A4-4C3A-8461-A62A3ABCB545}" type="doc">
      <dgm:prSet loTypeId="urn:microsoft.com/office/officeart/2011/layout/HexagonRadial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sl-SI"/>
        </a:p>
      </dgm:t>
    </dgm:pt>
    <dgm:pt modelId="{F456FD2C-2DDB-48A7-9A04-1193244C4907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neto podjetnikov dohodek</a:t>
          </a:r>
        </a:p>
        <a:p>
          <a:r>
            <a:rPr lang="sl-SI" sz="1100" dirty="0"/>
            <a:t>48 mio EUR</a:t>
          </a:r>
        </a:p>
        <a:p>
          <a:r>
            <a:rPr lang="sl-SI" sz="1100" dirty="0"/>
            <a:t>- 2 %</a:t>
          </a:r>
        </a:p>
      </dgm:t>
    </dgm:pt>
    <dgm:pt modelId="{1A2ABACA-CEB2-49B8-9F3B-B326090FDCCE}" type="parTrans" cxnId="{0ADE0F73-596C-4273-A72C-42A4E46C5A82}">
      <dgm:prSet/>
      <dgm:spPr/>
      <dgm:t>
        <a:bodyPr/>
        <a:lstStyle/>
        <a:p>
          <a:endParaRPr lang="sl-SI" sz="1050"/>
        </a:p>
      </dgm:t>
    </dgm:pt>
    <dgm:pt modelId="{5A6E0061-1D48-41B5-9DC1-8BA28F8C94E1}" type="sibTrans" cxnId="{0ADE0F73-596C-4273-A72C-42A4E46C5A82}">
      <dgm:prSet/>
      <dgm:spPr/>
      <dgm:t>
        <a:bodyPr/>
        <a:lstStyle/>
        <a:p>
          <a:endParaRPr lang="sl-SI" sz="1050"/>
        </a:p>
      </dgm:t>
    </dgm:pt>
    <dgm:pt modelId="{6DCC9AB1-3AE1-44EA-AA58-EDE64046ED23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prihodki</a:t>
          </a:r>
        </a:p>
        <a:p>
          <a:r>
            <a:rPr lang="sl-SI" sz="1100" dirty="0"/>
            <a:t>736 mio EUR</a:t>
          </a:r>
        </a:p>
        <a:p>
          <a:r>
            <a:rPr lang="sl-SI" sz="1100" dirty="0"/>
            <a:t>- 3 %</a:t>
          </a:r>
        </a:p>
      </dgm:t>
    </dgm:pt>
    <dgm:pt modelId="{7A933073-56F9-4102-A6CB-1A4EE5C23441}" type="parTrans" cxnId="{0D1AFEB8-A3AF-4AAE-9DFF-F3051158AF26}">
      <dgm:prSet/>
      <dgm:spPr/>
      <dgm:t>
        <a:bodyPr/>
        <a:lstStyle/>
        <a:p>
          <a:endParaRPr lang="sl-SI" sz="1050"/>
        </a:p>
      </dgm:t>
    </dgm:pt>
    <dgm:pt modelId="{65791145-DB0A-4280-86EA-AB3067318806}" type="sibTrans" cxnId="{0D1AFEB8-A3AF-4AAE-9DFF-F3051158AF26}">
      <dgm:prSet/>
      <dgm:spPr/>
      <dgm:t>
        <a:bodyPr/>
        <a:lstStyle/>
        <a:p>
          <a:endParaRPr lang="sl-SI" sz="1050"/>
        </a:p>
      </dgm:t>
    </dgm:pt>
    <dgm:pt modelId="{C54AE8CD-D2B8-44AF-B99A-12BC9FA6BAEB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prihodki tuji trg</a:t>
          </a:r>
        </a:p>
        <a:p>
          <a:r>
            <a:rPr lang="sl-SI" sz="1100" dirty="0"/>
            <a:t>108 mio EUR</a:t>
          </a:r>
        </a:p>
        <a:p>
          <a:r>
            <a:rPr lang="sl-SI" sz="1100" dirty="0"/>
            <a:t>- 2 %</a:t>
          </a:r>
        </a:p>
      </dgm:t>
    </dgm:pt>
    <dgm:pt modelId="{88CAE0EE-887C-460F-BF13-7E64D6A8C6E7}" type="parTrans" cxnId="{33E159E1-8416-4C14-9655-16471604BBF0}">
      <dgm:prSet/>
      <dgm:spPr/>
      <dgm:t>
        <a:bodyPr/>
        <a:lstStyle/>
        <a:p>
          <a:endParaRPr lang="sl-SI" sz="1050"/>
        </a:p>
      </dgm:t>
    </dgm:pt>
    <dgm:pt modelId="{0D06D53F-23EA-4C92-BCA0-2E293C47B029}" type="sibTrans" cxnId="{33E159E1-8416-4C14-9655-16471604BBF0}">
      <dgm:prSet/>
      <dgm:spPr/>
      <dgm:t>
        <a:bodyPr/>
        <a:lstStyle/>
        <a:p>
          <a:endParaRPr lang="sl-SI" sz="1050"/>
        </a:p>
      </dgm:t>
    </dgm:pt>
    <dgm:pt modelId="{36E3E3E8-4248-45DA-B723-421C5D16B8C7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odhodki</a:t>
          </a:r>
        </a:p>
        <a:p>
          <a:r>
            <a:rPr lang="sl-SI" sz="1100" dirty="0"/>
            <a:t>688 mio EUR</a:t>
          </a:r>
        </a:p>
        <a:p>
          <a:r>
            <a:rPr lang="sl-SI" sz="1100" dirty="0"/>
            <a:t>- 3 %</a:t>
          </a:r>
        </a:p>
      </dgm:t>
    </dgm:pt>
    <dgm:pt modelId="{87D2D7A8-6360-4014-824B-BCA174396D0F}" type="parTrans" cxnId="{61987A61-CA6D-4B1E-8D5D-268A2A9DB044}">
      <dgm:prSet/>
      <dgm:spPr/>
      <dgm:t>
        <a:bodyPr/>
        <a:lstStyle/>
        <a:p>
          <a:endParaRPr lang="sl-SI" sz="1050"/>
        </a:p>
      </dgm:t>
    </dgm:pt>
    <dgm:pt modelId="{430E23A4-1C55-42C7-B17F-9B607663377B}" type="sibTrans" cxnId="{61987A61-CA6D-4B1E-8D5D-268A2A9DB044}">
      <dgm:prSet/>
      <dgm:spPr/>
      <dgm:t>
        <a:bodyPr/>
        <a:lstStyle/>
        <a:p>
          <a:endParaRPr lang="sl-SI" sz="1050"/>
        </a:p>
      </dgm:t>
    </dgm:pt>
    <dgm:pt modelId="{F9441702-84D7-4658-9A61-388D3C10BE4A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neto dodana vrednost</a:t>
          </a:r>
        </a:p>
        <a:p>
          <a:r>
            <a:rPr lang="sl-SI" sz="1100" dirty="0"/>
            <a:t>207 mio EUR</a:t>
          </a:r>
        </a:p>
        <a:p>
          <a:r>
            <a:rPr lang="sl-SI" sz="1100" dirty="0"/>
            <a:t>+ 3 %</a:t>
          </a:r>
        </a:p>
      </dgm:t>
    </dgm:pt>
    <dgm:pt modelId="{1159130B-9BE3-4669-BA31-2B84A84044A5}" type="parTrans" cxnId="{4DC0CF9E-9CD9-4D73-B2A5-77C64FC4C964}">
      <dgm:prSet/>
      <dgm:spPr/>
      <dgm:t>
        <a:bodyPr/>
        <a:lstStyle/>
        <a:p>
          <a:endParaRPr lang="sl-SI" sz="1050"/>
        </a:p>
      </dgm:t>
    </dgm:pt>
    <dgm:pt modelId="{F56F4248-4C6F-4CA9-BF76-27039EF26803}" type="sibTrans" cxnId="{4DC0CF9E-9CD9-4D73-B2A5-77C64FC4C964}">
      <dgm:prSet/>
      <dgm:spPr/>
      <dgm:t>
        <a:bodyPr/>
        <a:lstStyle/>
        <a:p>
          <a:endParaRPr lang="sl-SI" sz="1050"/>
        </a:p>
      </dgm:t>
    </dgm:pt>
    <dgm:pt modelId="{42F72DBD-4541-4416-8232-4C6E32BDB908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sl-SI" sz="1050" dirty="0"/>
            <a:t>neto dod. vrednost na zapos. z nosilci dejavnosti</a:t>
          </a:r>
        </a:p>
        <a:p>
          <a:pPr>
            <a:spcAft>
              <a:spcPts val="0"/>
            </a:spcAft>
          </a:pPr>
          <a:r>
            <a:rPr lang="sl-SI" sz="1050" dirty="0"/>
            <a:t>16.256 EUR</a:t>
          </a:r>
        </a:p>
        <a:p>
          <a:pPr>
            <a:spcAft>
              <a:spcPts val="0"/>
            </a:spcAft>
          </a:pPr>
          <a:r>
            <a:rPr lang="sl-SI" sz="1050" dirty="0"/>
            <a:t>+ 3 %</a:t>
          </a:r>
        </a:p>
      </dgm:t>
    </dgm:pt>
    <dgm:pt modelId="{E63EF092-4B07-4122-875A-08F81543E36E}" type="parTrans" cxnId="{F9F361F9-13D6-4117-AE30-8677B98CEE49}">
      <dgm:prSet/>
      <dgm:spPr/>
      <dgm:t>
        <a:bodyPr/>
        <a:lstStyle/>
        <a:p>
          <a:endParaRPr lang="sl-SI" sz="1050"/>
        </a:p>
      </dgm:t>
    </dgm:pt>
    <dgm:pt modelId="{E262D515-072A-4B37-9316-07D142E20426}" type="sibTrans" cxnId="{F9F361F9-13D6-4117-AE30-8677B98CEE49}">
      <dgm:prSet/>
      <dgm:spPr/>
      <dgm:t>
        <a:bodyPr/>
        <a:lstStyle/>
        <a:p>
          <a:endParaRPr lang="sl-SI" sz="1050"/>
        </a:p>
      </dgm:t>
    </dgm:pt>
    <dgm:pt modelId="{B3893E85-6146-4D45-BF1D-B6B25FC246E0}">
      <dgm:prSet phldrT="[besedilo]" custT="1"/>
      <dgm:spPr>
        <a:ln>
          <a:solidFill>
            <a:srgbClr val="0077C8"/>
          </a:solidFill>
        </a:ln>
      </dgm:spPr>
      <dgm:t>
        <a:bodyPr/>
        <a:lstStyle/>
        <a:p>
          <a:r>
            <a:rPr lang="sl-SI" sz="1100" dirty="0"/>
            <a:t>bruto plača</a:t>
          </a:r>
        </a:p>
        <a:p>
          <a:r>
            <a:rPr lang="sl-SI" sz="1100" dirty="0"/>
            <a:t>1.144 EUR</a:t>
          </a:r>
        </a:p>
        <a:p>
          <a:r>
            <a:rPr lang="sl-SI" sz="1100" dirty="0"/>
            <a:t>+ 5 %</a:t>
          </a:r>
        </a:p>
      </dgm:t>
    </dgm:pt>
    <dgm:pt modelId="{C1CF8F87-17A4-416E-BEC2-70789C1AC9EE}" type="parTrans" cxnId="{1DFF9A9C-8143-46FB-AD31-2E729C6C4418}">
      <dgm:prSet/>
      <dgm:spPr/>
      <dgm:t>
        <a:bodyPr/>
        <a:lstStyle/>
        <a:p>
          <a:endParaRPr lang="sl-SI" sz="1050"/>
        </a:p>
      </dgm:t>
    </dgm:pt>
    <dgm:pt modelId="{57C8920B-4257-4EAE-84EB-B300532400E5}" type="sibTrans" cxnId="{1DFF9A9C-8143-46FB-AD31-2E729C6C4418}">
      <dgm:prSet/>
      <dgm:spPr/>
      <dgm:t>
        <a:bodyPr/>
        <a:lstStyle/>
        <a:p>
          <a:endParaRPr lang="sl-SI" sz="1050"/>
        </a:p>
      </dgm:t>
    </dgm:pt>
    <dgm:pt modelId="{118FC7E8-6D0C-4095-85F2-4780FE49CE84}" type="pres">
      <dgm:prSet presAssocID="{A4FCFED2-17A4-4C3A-8461-A62A3ABCB54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sl-SI"/>
        </a:p>
      </dgm:t>
    </dgm:pt>
    <dgm:pt modelId="{BDE35D65-B11B-4AF8-91B5-44ADC65F3ED3}" type="pres">
      <dgm:prSet presAssocID="{F456FD2C-2DDB-48A7-9A04-1193244C4907}" presName="Parent" presStyleLbl="node0" presStyleIdx="0" presStyleCnt="1">
        <dgm:presLayoutVars>
          <dgm:chMax val="6"/>
          <dgm:chPref val="6"/>
        </dgm:presLayoutVars>
      </dgm:prSet>
      <dgm:spPr/>
      <dgm:t>
        <a:bodyPr/>
        <a:lstStyle/>
        <a:p>
          <a:endParaRPr lang="sl-SI"/>
        </a:p>
      </dgm:t>
    </dgm:pt>
    <dgm:pt modelId="{C82A763A-811F-44E5-A627-B963DF592399}" type="pres">
      <dgm:prSet presAssocID="{6DCC9AB1-3AE1-44EA-AA58-EDE64046ED23}" presName="Accent1" presStyleCnt="0"/>
      <dgm:spPr/>
    </dgm:pt>
    <dgm:pt modelId="{42FB37D9-3147-43BD-8680-5294AED3520B}" type="pres">
      <dgm:prSet presAssocID="{6DCC9AB1-3AE1-44EA-AA58-EDE64046ED23}" presName="Accent" presStyleLbl="bgShp" presStyleIdx="0" presStyleCnt="6"/>
      <dgm:spPr/>
    </dgm:pt>
    <dgm:pt modelId="{EED4A0EF-6648-4372-96C5-F8B5DC5CFD8A}" type="pres">
      <dgm:prSet presAssocID="{6DCC9AB1-3AE1-44EA-AA58-EDE64046ED23}" presName="Child1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24A57D08-5B4A-4B0B-8F4B-145FFA2E1283}" type="pres">
      <dgm:prSet presAssocID="{C54AE8CD-D2B8-44AF-B99A-12BC9FA6BAEB}" presName="Accent2" presStyleCnt="0"/>
      <dgm:spPr/>
    </dgm:pt>
    <dgm:pt modelId="{A79788A8-F3A3-4482-896E-88DEEE3FA341}" type="pres">
      <dgm:prSet presAssocID="{C54AE8CD-D2B8-44AF-B99A-12BC9FA6BAEB}" presName="Accent" presStyleLbl="bgShp" presStyleIdx="1" presStyleCnt="6"/>
      <dgm:spPr>
        <a:solidFill>
          <a:srgbClr val="0077C8"/>
        </a:solidFill>
      </dgm:spPr>
    </dgm:pt>
    <dgm:pt modelId="{35125649-FA96-4530-8A0C-DFBE4829B5C0}" type="pres">
      <dgm:prSet presAssocID="{C54AE8CD-D2B8-44AF-B99A-12BC9FA6BAEB}" presName="Child2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5A58C60-037C-4CB2-BCC9-997A3A77067E}" type="pres">
      <dgm:prSet presAssocID="{36E3E3E8-4248-45DA-B723-421C5D16B8C7}" presName="Accent3" presStyleCnt="0"/>
      <dgm:spPr/>
    </dgm:pt>
    <dgm:pt modelId="{1BFCCFE5-8134-4F0C-8CFB-E17E79E8B3F7}" type="pres">
      <dgm:prSet presAssocID="{36E3E3E8-4248-45DA-B723-421C5D16B8C7}" presName="Accent" presStyleLbl="bgShp" presStyleIdx="2" presStyleCnt="6"/>
      <dgm:spPr>
        <a:solidFill>
          <a:srgbClr val="0077C8"/>
        </a:solidFill>
      </dgm:spPr>
    </dgm:pt>
    <dgm:pt modelId="{EB4CC1B4-EBB7-49B4-ACED-1C4B9969040A}" type="pres">
      <dgm:prSet presAssocID="{36E3E3E8-4248-45DA-B723-421C5D16B8C7}" presName="Child3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0FAB856-9B8C-4EAD-B64E-0F8776E25B29}" type="pres">
      <dgm:prSet presAssocID="{F9441702-84D7-4658-9A61-388D3C10BE4A}" presName="Accent4" presStyleCnt="0"/>
      <dgm:spPr/>
    </dgm:pt>
    <dgm:pt modelId="{DF8EE2E3-F424-4C1D-8C1D-37970CBDC1CD}" type="pres">
      <dgm:prSet presAssocID="{F9441702-84D7-4658-9A61-388D3C10BE4A}" presName="Accent" presStyleLbl="bgShp" presStyleIdx="3" presStyleCnt="6"/>
      <dgm:spPr>
        <a:solidFill>
          <a:srgbClr val="0077C8"/>
        </a:solidFill>
      </dgm:spPr>
    </dgm:pt>
    <dgm:pt modelId="{1CA2AA0F-B1B0-4509-9A35-9D0957BABEB0}" type="pres">
      <dgm:prSet presAssocID="{F9441702-84D7-4658-9A61-388D3C10BE4A}" presName="Child4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5B67912-C955-4753-9233-AFDEABED95CC}" type="pres">
      <dgm:prSet presAssocID="{42F72DBD-4541-4416-8232-4C6E32BDB908}" presName="Accent5" presStyleCnt="0"/>
      <dgm:spPr/>
    </dgm:pt>
    <dgm:pt modelId="{8143E937-6FA6-4905-8605-82FAFCA11EC7}" type="pres">
      <dgm:prSet presAssocID="{42F72DBD-4541-4416-8232-4C6E32BDB908}" presName="Accent" presStyleLbl="bgShp" presStyleIdx="4" presStyleCnt="6"/>
      <dgm:spPr>
        <a:solidFill>
          <a:srgbClr val="0077C8"/>
        </a:solidFill>
      </dgm:spPr>
    </dgm:pt>
    <dgm:pt modelId="{160A69E8-890E-4944-9B6B-3B00B42F7A28}" type="pres">
      <dgm:prSet presAssocID="{42F72DBD-4541-4416-8232-4C6E32BDB908}" presName="Child5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9D33D68-327B-4219-BA75-DA897FBAEF48}" type="pres">
      <dgm:prSet presAssocID="{B3893E85-6146-4D45-BF1D-B6B25FC246E0}" presName="Accent6" presStyleCnt="0"/>
      <dgm:spPr/>
    </dgm:pt>
    <dgm:pt modelId="{2B6708DB-F32F-4A57-B6B3-73A9A0CB7B9A}" type="pres">
      <dgm:prSet presAssocID="{B3893E85-6146-4D45-BF1D-B6B25FC246E0}" presName="Accent" presStyleLbl="bgShp" presStyleIdx="5" presStyleCnt="6"/>
      <dgm:spPr>
        <a:solidFill>
          <a:srgbClr val="0077C8"/>
        </a:solidFill>
      </dgm:spPr>
    </dgm:pt>
    <dgm:pt modelId="{F8EB385C-C81C-4D3B-BB85-FBFCF27E2389}" type="pres">
      <dgm:prSet presAssocID="{B3893E85-6146-4D45-BF1D-B6B25FC246E0}" presName="Child6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AEC20E56-EB36-42B3-8CCF-BB0D127FAD59}" type="presOf" srcId="{C54AE8CD-D2B8-44AF-B99A-12BC9FA6BAEB}" destId="{35125649-FA96-4530-8A0C-DFBE4829B5C0}" srcOrd="0" destOrd="0" presId="urn:microsoft.com/office/officeart/2011/layout/HexagonRadial"/>
    <dgm:cxn modelId="{F158370F-F960-4A23-BACB-E7787053A071}" type="presOf" srcId="{36E3E3E8-4248-45DA-B723-421C5D16B8C7}" destId="{EB4CC1B4-EBB7-49B4-ACED-1C4B9969040A}" srcOrd="0" destOrd="0" presId="urn:microsoft.com/office/officeart/2011/layout/HexagonRadial"/>
    <dgm:cxn modelId="{7CFE2898-539D-45F5-B9E9-34078590063D}" type="presOf" srcId="{A4FCFED2-17A4-4C3A-8461-A62A3ABCB545}" destId="{118FC7E8-6D0C-4095-85F2-4780FE49CE84}" srcOrd="0" destOrd="0" presId="urn:microsoft.com/office/officeart/2011/layout/HexagonRadial"/>
    <dgm:cxn modelId="{9F59E7BA-C26C-46AA-8401-0E90E6C9D8DD}" type="presOf" srcId="{F9441702-84D7-4658-9A61-388D3C10BE4A}" destId="{1CA2AA0F-B1B0-4509-9A35-9D0957BABEB0}" srcOrd="0" destOrd="0" presId="urn:microsoft.com/office/officeart/2011/layout/HexagonRadial"/>
    <dgm:cxn modelId="{0D1AFEB8-A3AF-4AAE-9DFF-F3051158AF26}" srcId="{F456FD2C-2DDB-48A7-9A04-1193244C4907}" destId="{6DCC9AB1-3AE1-44EA-AA58-EDE64046ED23}" srcOrd="0" destOrd="0" parTransId="{7A933073-56F9-4102-A6CB-1A4EE5C23441}" sibTransId="{65791145-DB0A-4280-86EA-AB3067318806}"/>
    <dgm:cxn modelId="{33E159E1-8416-4C14-9655-16471604BBF0}" srcId="{F456FD2C-2DDB-48A7-9A04-1193244C4907}" destId="{C54AE8CD-D2B8-44AF-B99A-12BC9FA6BAEB}" srcOrd="1" destOrd="0" parTransId="{88CAE0EE-887C-460F-BF13-7E64D6A8C6E7}" sibTransId="{0D06D53F-23EA-4C92-BCA0-2E293C47B029}"/>
    <dgm:cxn modelId="{F9F361F9-13D6-4117-AE30-8677B98CEE49}" srcId="{F456FD2C-2DDB-48A7-9A04-1193244C4907}" destId="{42F72DBD-4541-4416-8232-4C6E32BDB908}" srcOrd="4" destOrd="0" parTransId="{E63EF092-4B07-4122-875A-08F81543E36E}" sibTransId="{E262D515-072A-4B37-9316-07D142E20426}"/>
    <dgm:cxn modelId="{240FA063-3406-4757-9607-E8C55C4E1494}" type="presOf" srcId="{B3893E85-6146-4D45-BF1D-B6B25FC246E0}" destId="{F8EB385C-C81C-4D3B-BB85-FBFCF27E2389}" srcOrd="0" destOrd="0" presId="urn:microsoft.com/office/officeart/2011/layout/HexagonRadial"/>
    <dgm:cxn modelId="{4DC0CF9E-9CD9-4D73-B2A5-77C64FC4C964}" srcId="{F456FD2C-2DDB-48A7-9A04-1193244C4907}" destId="{F9441702-84D7-4658-9A61-388D3C10BE4A}" srcOrd="3" destOrd="0" parTransId="{1159130B-9BE3-4669-BA31-2B84A84044A5}" sibTransId="{F56F4248-4C6F-4CA9-BF76-27039EF26803}"/>
    <dgm:cxn modelId="{F19434B0-FC74-4A80-9DBB-C832602552BC}" type="presOf" srcId="{F456FD2C-2DDB-48A7-9A04-1193244C4907}" destId="{BDE35D65-B11B-4AF8-91B5-44ADC65F3ED3}" srcOrd="0" destOrd="0" presId="urn:microsoft.com/office/officeart/2011/layout/HexagonRadial"/>
    <dgm:cxn modelId="{2E7A129D-5430-4581-8E73-45A264221929}" type="presOf" srcId="{42F72DBD-4541-4416-8232-4C6E32BDB908}" destId="{160A69E8-890E-4944-9B6B-3B00B42F7A28}" srcOrd="0" destOrd="0" presId="urn:microsoft.com/office/officeart/2011/layout/HexagonRadial"/>
    <dgm:cxn modelId="{61987A61-CA6D-4B1E-8D5D-268A2A9DB044}" srcId="{F456FD2C-2DDB-48A7-9A04-1193244C4907}" destId="{36E3E3E8-4248-45DA-B723-421C5D16B8C7}" srcOrd="2" destOrd="0" parTransId="{87D2D7A8-6360-4014-824B-BCA174396D0F}" sibTransId="{430E23A4-1C55-42C7-B17F-9B607663377B}"/>
    <dgm:cxn modelId="{0ADE0F73-596C-4273-A72C-42A4E46C5A82}" srcId="{A4FCFED2-17A4-4C3A-8461-A62A3ABCB545}" destId="{F456FD2C-2DDB-48A7-9A04-1193244C4907}" srcOrd="0" destOrd="0" parTransId="{1A2ABACA-CEB2-49B8-9F3B-B326090FDCCE}" sibTransId="{5A6E0061-1D48-41B5-9DC1-8BA28F8C94E1}"/>
    <dgm:cxn modelId="{1DFF9A9C-8143-46FB-AD31-2E729C6C4418}" srcId="{F456FD2C-2DDB-48A7-9A04-1193244C4907}" destId="{B3893E85-6146-4D45-BF1D-B6B25FC246E0}" srcOrd="5" destOrd="0" parTransId="{C1CF8F87-17A4-416E-BEC2-70789C1AC9EE}" sibTransId="{57C8920B-4257-4EAE-84EB-B300532400E5}"/>
    <dgm:cxn modelId="{BA42C53E-D54A-4837-8BA3-873229300F94}" type="presOf" srcId="{6DCC9AB1-3AE1-44EA-AA58-EDE64046ED23}" destId="{EED4A0EF-6648-4372-96C5-F8B5DC5CFD8A}" srcOrd="0" destOrd="0" presId="urn:microsoft.com/office/officeart/2011/layout/HexagonRadial"/>
    <dgm:cxn modelId="{D2EA892D-B85B-4E46-9102-325733471669}" type="presParOf" srcId="{118FC7E8-6D0C-4095-85F2-4780FE49CE84}" destId="{BDE35D65-B11B-4AF8-91B5-44ADC65F3ED3}" srcOrd="0" destOrd="0" presId="urn:microsoft.com/office/officeart/2011/layout/HexagonRadial"/>
    <dgm:cxn modelId="{41C06A35-0E46-445B-A292-9211DCDC2526}" type="presParOf" srcId="{118FC7E8-6D0C-4095-85F2-4780FE49CE84}" destId="{C82A763A-811F-44E5-A627-B963DF592399}" srcOrd="1" destOrd="0" presId="urn:microsoft.com/office/officeart/2011/layout/HexagonRadial"/>
    <dgm:cxn modelId="{175E9D6D-182B-4194-9EEA-0B83AB0FF3B8}" type="presParOf" srcId="{C82A763A-811F-44E5-A627-B963DF592399}" destId="{42FB37D9-3147-43BD-8680-5294AED3520B}" srcOrd="0" destOrd="0" presId="urn:microsoft.com/office/officeart/2011/layout/HexagonRadial"/>
    <dgm:cxn modelId="{14E65C60-80D2-4BD9-858D-8AAB9ED82665}" type="presParOf" srcId="{118FC7E8-6D0C-4095-85F2-4780FE49CE84}" destId="{EED4A0EF-6648-4372-96C5-F8B5DC5CFD8A}" srcOrd="2" destOrd="0" presId="urn:microsoft.com/office/officeart/2011/layout/HexagonRadial"/>
    <dgm:cxn modelId="{7E99EFB9-1225-47A3-8E8C-6A1674CC2B8F}" type="presParOf" srcId="{118FC7E8-6D0C-4095-85F2-4780FE49CE84}" destId="{24A57D08-5B4A-4B0B-8F4B-145FFA2E1283}" srcOrd="3" destOrd="0" presId="urn:microsoft.com/office/officeart/2011/layout/HexagonRadial"/>
    <dgm:cxn modelId="{E0CBA982-6EE0-478B-87EC-7A92DB967104}" type="presParOf" srcId="{24A57D08-5B4A-4B0B-8F4B-145FFA2E1283}" destId="{A79788A8-F3A3-4482-896E-88DEEE3FA341}" srcOrd="0" destOrd="0" presId="urn:microsoft.com/office/officeart/2011/layout/HexagonRadial"/>
    <dgm:cxn modelId="{390217DD-2F8F-4AAE-9447-23B4799F4B58}" type="presParOf" srcId="{118FC7E8-6D0C-4095-85F2-4780FE49CE84}" destId="{35125649-FA96-4530-8A0C-DFBE4829B5C0}" srcOrd="4" destOrd="0" presId="urn:microsoft.com/office/officeart/2011/layout/HexagonRadial"/>
    <dgm:cxn modelId="{FD558A7B-DD5D-477D-8646-D6795934AA9C}" type="presParOf" srcId="{118FC7E8-6D0C-4095-85F2-4780FE49CE84}" destId="{D5A58C60-037C-4CB2-BCC9-997A3A77067E}" srcOrd="5" destOrd="0" presId="urn:microsoft.com/office/officeart/2011/layout/HexagonRadial"/>
    <dgm:cxn modelId="{C78FC6CC-6296-48F7-A075-6B9F53ABA3F6}" type="presParOf" srcId="{D5A58C60-037C-4CB2-BCC9-997A3A77067E}" destId="{1BFCCFE5-8134-4F0C-8CFB-E17E79E8B3F7}" srcOrd="0" destOrd="0" presId="urn:microsoft.com/office/officeart/2011/layout/HexagonRadial"/>
    <dgm:cxn modelId="{AF710B24-1F69-432D-B5D8-A011625DECF9}" type="presParOf" srcId="{118FC7E8-6D0C-4095-85F2-4780FE49CE84}" destId="{EB4CC1B4-EBB7-49B4-ACED-1C4B9969040A}" srcOrd="6" destOrd="0" presId="urn:microsoft.com/office/officeart/2011/layout/HexagonRadial"/>
    <dgm:cxn modelId="{272E97FA-9279-4051-B64A-595A4E6B334C}" type="presParOf" srcId="{118FC7E8-6D0C-4095-85F2-4780FE49CE84}" destId="{10FAB856-9B8C-4EAD-B64E-0F8776E25B29}" srcOrd="7" destOrd="0" presId="urn:microsoft.com/office/officeart/2011/layout/HexagonRadial"/>
    <dgm:cxn modelId="{E77C2D86-DFA7-40E8-A909-820F148BB724}" type="presParOf" srcId="{10FAB856-9B8C-4EAD-B64E-0F8776E25B29}" destId="{DF8EE2E3-F424-4C1D-8C1D-37970CBDC1CD}" srcOrd="0" destOrd="0" presId="urn:microsoft.com/office/officeart/2011/layout/HexagonRadial"/>
    <dgm:cxn modelId="{7C0390ED-2CDB-4F2C-AFB7-B6B4FB6080D8}" type="presParOf" srcId="{118FC7E8-6D0C-4095-85F2-4780FE49CE84}" destId="{1CA2AA0F-B1B0-4509-9A35-9D0957BABEB0}" srcOrd="8" destOrd="0" presId="urn:microsoft.com/office/officeart/2011/layout/HexagonRadial"/>
    <dgm:cxn modelId="{A6881722-175B-46F9-9FEC-DE1B1DC9AFB7}" type="presParOf" srcId="{118FC7E8-6D0C-4095-85F2-4780FE49CE84}" destId="{35B67912-C955-4753-9233-AFDEABED95CC}" srcOrd="9" destOrd="0" presId="urn:microsoft.com/office/officeart/2011/layout/HexagonRadial"/>
    <dgm:cxn modelId="{12C47CED-F294-4C29-AEDA-E6FAC12DBF39}" type="presParOf" srcId="{35B67912-C955-4753-9233-AFDEABED95CC}" destId="{8143E937-6FA6-4905-8605-82FAFCA11EC7}" srcOrd="0" destOrd="0" presId="urn:microsoft.com/office/officeart/2011/layout/HexagonRadial"/>
    <dgm:cxn modelId="{F579A485-A6D8-4B03-BA89-6FFB92CDF1E2}" type="presParOf" srcId="{118FC7E8-6D0C-4095-85F2-4780FE49CE84}" destId="{160A69E8-890E-4944-9B6B-3B00B42F7A28}" srcOrd="10" destOrd="0" presId="urn:microsoft.com/office/officeart/2011/layout/HexagonRadial"/>
    <dgm:cxn modelId="{49A0B2D8-B4A0-4508-AC44-E67A29623B77}" type="presParOf" srcId="{118FC7E8-6D0C-4095-85F2-4780FE49CE84}" destId="{E9D33D68-327B-4219-BA75-DA897FBAEF48}" srcOrd="11" destOrd="0" presId="urn:microsoft.com/office/officeart/2011/layout/HexagonRadial"/>
    <dgm:cxn modelId="{967E5D29-F104-4D7F-A58B-A4B5E6C6C233}" type="presParOf" srcId="{E9D33D68-327B-4219-BA75-DA897FBAEF48}" destId="{2B6708DB-F32F-4A57-B6B3-73A9A0CB7B9A}" srcOrd="0" destOrd="0" presId="urn:microsoft.com/office/officeart/2011/layout/HexagonRadial"/>
    <dgm:cxn modelId="{D87ED4D0-3897-44FC-913B-85369CA7C2DB}" type="presParOf" srcId="{118FC7E8-6D0C-4095-85F2-4780FE49CE84}" destId="{F8EB385C-C81C-4D3B-BB85-FBFCF27E2389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E35D65-B11B-4AF8-91B5-44ADC65F3ED3}">
      <dsp:nvSpPr>
        <dsp:cNvPr id="0" name=""/>
        <dsp:cNvSpPr/>
      </dsp:nvSpPr>
      <dsp:spPr>
        <a:xfrm>
          <a:off x="1201693" y="1053958"/>
          <a:ext cx="1339626" cy="1158831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neto čista izguba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- 59 mio EUR</a:t>
          </a:r>
        </a:p>
      </dsp:txBody>
      <dsp:txXfrm>
        <a:off x="1423688" y="1245993"/>
        <a:ext cx="895636" cy="774761"/>
      </dsp:txXfrm>
    </dsp:sp>
    <dsp:sp modelId="{A79788A8-F3A3-4482-896E-88DEEE3FA341}">
      <dsp:nvSpPr>
        <dsp:cNvPr id="0" name=""/>
        <dsp:cNvSpPr/>
      </dsp:nvSpPr>
      <dsp:spPr>
        <a:xfrm>
          <a:off x="2040557" y="499535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D4A0EF-6648-4372-96C5-F8B5DC5CFD8A}">
      <dsp:nvSpPr>
        <dsp:cNvPr id="0" name=""/>
        <dsp:cNvSpPr/>
      </dsp:nvSpPr>
      <dsp:spPr>
        <a:xfrm>
          <a:off x="1325092" y="0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prihodki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9.660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+ 0 %</a:t>
          </a:r>
        </a:p>
      </dsp:txBody>
      <dsp:txXfrm>
        <a:off x="1507023" y="157392"/>
        <a:ext cx="733952" cy="634954"/>
      </dsp:txXfrm>
    </dsp:sp>
    <dsp:sp modelId="{1BFCCFE5-8134-4F0C-8CFB-E17E79E8B3F7}">
      <dsp:nvSpPr>
        <dsp:cNvPr id="0" name=""/>
        <dsp:cNvSpPr/>
      </dsp:nvSpPr>
      <dsp:spPr>
        <a:xfrm>
          <a:off x="2630441" y="1313690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125649-FA96-4530-8A0C-DFBE4829B5C0}">
      <dsp:nvSpPr>
        <dsp:cNvPr id="0" name=""/>
        <dsp:cNvSpPr/>
      </dsp:nvSpPr>
      <dsp:spPr>
        <a:xfrm>
          <a:off x="2331915" y="567181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prihodki tuji trg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4.208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+ 5 %</a:t>
          </a:r>
        </a:p>
      </dsp:txBody>
      <dsp:txXfrm>
        <a:off x="2513846" y="724573"/>
        <a:ext cx="733952" cy="634954"/>
      </dsp:txXfrm>
    </dsp:sp>
    <dsp:sp modelId="{DF8EE2E3-F424-4C1D-8C1D-37970CBDC1CD}">
      <dsp:nvSpPr>
        <dsp:cNvPr id="0" name=""/>
        <dsp:cNvSpPr/>
      </dsp:nvSpPr>
      <dsp:spPr>
        <a:xfrm>
          <a:off x="2220669" y="2232719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4CC1B4-EBB7-49B4-ACED-1C4B9969040A}">
      <dsp:nvSpPr>
        <dsp:cNvPr id="0" name=""/>
        <dsp:cNvSpPr/>
      </dsp:nvSpPr>
      <dsp:spPr>
        <a:xfrm>
          <a:off x="2331915" y="1732529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odhodki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9.663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+ 3 %</a:t>
          </a:r>
        </a:p>
      </dsp:txBody>
      <dsp:txXfrm>
        <a:off x="2513846" y="1889921"/>
        <a:ext cx="733952" cy="634954"/>
      </dsp:txXfrm>
    </dsp:sp>
    <dsp:sp modelId="{8143E937-6FA6-4905-8605-82FAFCA11EC7}">
      <dsp:nvSpPr>
        <dsp:cNvPr id="0" name=""/>
        <dsp:cNvSpPr/>
      </dsp:nvSpPr>
      <dsp:spPr>
        <a:xfrm>
          <a:off x="1204186" y="2328117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A2AA0F-B1B0-4509-9A35-9D0957BABEB0}">
      <dsp:nvSpPr>
        <dsp:cNvPr id="0" name=""/>
        <dsp:cNvSpPr/>
      </dsp:nvSpPr>
      <dsp:spPr>
        <a:xfrm>
          <a:off x="1325092" y="2317336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neto </a:t>
          </a:r>
          <a:r>
            <a:rPr lang="sl-SI" sz="1100" b="0" kern="1200" dirty="0" err="1"/>
            <a:t>dod</a:t>
          </a:r>
          <a:r>
            <a:rPr lang="sl-SI" sz="1100" b="0" kern="1200" dirty="0"/>
            <a:t>. vrednost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2.496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+ 1 %</a:t>
          </a:r>
        </a:p>
      </dsp:txBody>
      <dsp:txXfrm>
        <a:off x="1507023" y="2474728"/>
        <a:ext cx="733952" cy="634954"/>
      </dsp:txXfrm>
    </dsp:sp>
    <dsp:sp modelId="{2B6708DB-F32F-4A57-B6B3-73A9A0CB7B9A}">
      <dsp:nvSpPr>
        <dsp:cNvPr id="0" name=""/>
        <dsp:cNvSpPr/>
      </dsp:nvSpPr>
      <dsp:spPr>
        <a:xfrm>
          <a:off x="604641" y="1514289"/>
          <a:ext cx="505437" cy="435501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0A69E8-890E-4944-9B6B-3B00B42F7A28}">
      <dsp:nvSpPr>
        <dsp:cNvPr id="0" name=""/>
        <dsp:cNvSpPr/>
      </dsp:nvSpPr>
      <dsp:spPr>
        <a:xfrm>
          <a:off x="313594" y="1733183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neto dod. vrednost na zaposlenega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41.233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+ 4 %</a:t>
          </a:r>
        </a:p>
      </dsp:txBody>
      <dsp:txXfrm>
        <a:off x="495525" y="1890575"/>
        <a:ext cx="733952" cy="634954"/>
      </dsp:txXfrm>
    </dsp:sp>
    <dsp:sp modelId="{F8EB385C-C81C-4D3B-BB85-FBFCF27E2389}">
      <dsp:nvSpPr>
        <dsp:cNvPr id="0" name=""/>
        <dsp:cNvSpPr/>
      </dsp:nvSpPr>
      <dsp:spPr>
        <a:xfrm>
          <a:off x="313594" y="582846"/>
          <a:ext cx="1097814" cy="949738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bruto plača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1.593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b="0" kern="1200" dirty="0"/>
            <a:t>+ 2 %</a:t>
          </a:r>
        </a:p>
      </dsp:txBody>
      <dsp:txXfrm>
        <a:off x="495525" y="740238"/>
        <a:ext cx="733952" cy="6349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E35D65-B11B-4AF8-91B5-44ADC65F3ED3}">
      <dsp:nvSpPr>
        <dsp:cNvPr id="0" name=""/>
        <dsp:cNvSpPr/>
      </dsp:nvSpPr>
      <dsp:spPr>
        <a:xfrm>
          <a:off x="1534531" y="1096289"/>
          <a:ext cx="1393431" cy="1205374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neto podjetnikov dohodek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48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- 2 %</a:t>
          </a:r>
        </a:p>
      </dsp:txBody>
      <dsp:txXfrm>
        <a:off x="1765442" y="1296036"/>
        <a:ext cx="931609" cy="805880"/>
      </dsp:txXfrm>
    </dsp:sp>
    <dsp:sp modelId="{A79788A8-F3A3-4482-896E-88DEEE3FA341}">
      <dsp:nvSpPr>
        <dsp:cNvPr id="0" name=""/>
        <dsp:cNvSpPr/>
      </dsp:nvSpPr>
      <dsp:spPr>
        <a:xfrm>
          <a:off x="2407087" y="519598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D4A0EF-6648-4372-96C5-F8B5DC5CFD8A}">
      <dsp:nvSpPr>
        <dsp:cNvPr id="0" name=""/>
        <dsp:cNvSpPr/>
      </dsp:nvSpPr>
      <dsp:spPr>
        <a:xfrm>
          <a:off x="1662886" y="0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prihodki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736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- 3 %</a:t>
          </a:r>
        </a:p>
      </dsp:txBody>
      <dsp:txXfrm>
        <a:off x="1852124" y="163713"/>
        <a:ext cx="763431" cy="660457"/>
      </dsp:txXfrm>
    </dsp:sp>
    <dsp:sp modelId="{1BFCCFE5-8134-4F0C-8CFB-E17E79E8B3F7}">
      <dsp:nvSpPr>
        <dsp:cNvPr id="0" name=""/>
        <dsp:cNvSpPr/>
      </dsp:nvSpPr>
      <dsp:spPr>
        <a:xfrm>
          <a:off x="3020663" y="1366453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125649-FA96-4530-8A0C-DFBE4829B5C0}">
      <dsp:nvSpPr>
        <dsp:cNvPr id="0" name=""/>
        <dsp:cNvSpPr/>
      </dsp:nvSpPr>
      <dsp:spPr>
        <a:xfrm>
          <a:off x="2710147" y="607614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prihodki tuji trg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108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- 2 %</a:t>
          </a:r>
        </a:p>
      </dsp:txBody>
      <dsp:txXfrm>
        <a:off x="2899385" y="771327"/>
        <a:ext cx="763431" cy="660457"/>
      </dsp:txXfrm>
    </dsp:sp>
    <dsp:sp modelId="{DF8EE2E3-F424-4C1D-8C1D-37970CBDC1CD}">
      <dsp:nvSpPr>
        <dsp:cNvPr id="0" name=""/>
        <dsp:cNvSpPr/>
      </dsp:nvSpPr>
      <dsp:spPr>
        <a:xfrm>
          <a:off x="2594433" y="2322393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B4CC1B4-EBB7-49B4-ACED-1C4B9969040A}">
      <dsp:nvSpPr>
        <dsp:cNvPr id="0" name=""/>
        <dsp:cNvSpPr/>
      </dsp:nvSpPr>
      <dsp:spPr>
        <a:xfrm>
          <a:off x="2710147" y="1802114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odhodki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688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- 3 %</a:t>
          </a:r>
        </a:p>
      </dsp:txBody>
      <dsp:txXfrm>
        <a:off x="2899385" y="1965827"/>
        <a:ext cx="763431" cy="660457"/>
      </dsp:txXfrm>
    </dsp:sp>
    <dsp:sp modelId="{8143E937-6FA6-4905-8605-82FAFCA11EC7}">
      <dsp:nvSpPr>
        <dsp:cNvPr id="0" name=""/>
        <dsp:cNvSpPr/>
      </dsp:nvSpPr>
      <dsp:spPr>
        <a:xfrm>
          <a:off x="1537124" y="2421623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A2AA0F-B1B0-4509-9A35-9D0957BABEB0}">
      <dsp:nvSpPr>
        <dsp:cNvPr id="0" name=""/>
        <dsp:cNvSpPr/>
      </dsp:nvSpPr>
      <dsp:spPr>
        <a:xfrm>
          <a:off x="1662886" y="2410409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neto dodana vrednost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207 mio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+ 3 %</a:t>
          </a:r>
        </a:p>
      </dsp:txBody>
      <dsp:txXfrm>
        <a:off x="1852124" y="2574122"/>
        <a:ext cx="763431" cy="660457"/>
      </dsp:txXfrm>
    </dsp:sp>
    <dsp:sp modelId="{2B6708DB-F32F-4A57-B6B3-73A9A0CB7B9A}">
      <dsp:nvSpPr>
        <dsp:cNvPr id="0" name=""/>
        <dsp:cNvSpPr/>
      </dsp:nvSpPr>
      <dsp:spPr>
        <a:xfrm>
          <a:off x="913499" y="1575108"/>
          <a:ext cx="525737" cy="452992"/>
        </a:xfrm>
        <a:prstGeom prst="hexagon">
          <a:avLst>
            <a:gd name="adj" fmla="val 28900"/>
            <a:gd name="vf" fmla="val 115470"/>
          </a:avLst>
        </a:prstGeom>
        <a:solidFill>
          <a:srgbClr val="0077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0A69E8-890E-4944-9B6B-3B00B42F7A28}">
      <dsp:nvSpPr>
        <dsp:cNvPr id="0" name=""/>
        <dsp:cNvSpPr/>
      </dsp:nvSpPr>
      <dsp:spPr>
        <a:xfrm>
          <a:off x="610763" y="1802794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l-SI" sz="1050" kern="1200" dirty="0"/>
            <a:t>neto dod. vrednost na zapos. z nosilci dejavnosti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l-SI" sz="1050" kern="1200" dirty="0"/>
            <a:t>16.256 EUR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sl-SI" sz="1050" kern="1200" dirty="0"/>
            <a:t>+ 3 %</a:t>
          </a:r>
        </a:p>
      </dsp:txBody>
      <dsp:txXfrm>
        <a:off x="800001" y="1966507"/>
        <a:ext cx="763431" cy="660457"/>
      </dsp:txXfrm>
    </dsp:sp>
    <dsp:sp modelId="{F8EB385C-C81C-4D3B-BB85-FBFCF27E2389}">
      <dsp:nvSpPr>
        <dsp:cNvPr id="0" name=""/>
        <dsp:cNvSpPr/>
      </dsp:nvSpPr>
      <dsp:spPr>
        <a:xfrm>
          <a:off x="610763" y="606255"/>
          <a:ext cx="1141907" cy="987883"/>
        </a:xfrm>
        <a:prstGeom prst="hexagon">
          <a:avLst>
            <a:gd name="adj" fmla="val 2857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77C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bruto plača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1.144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 dirty="0"/>
            <a:t>+ 5 %</a:t>
          </a:r>
        </a:p>
      </dsp:txBody>
      <dsp:txXfrm>
        <a:off x="800001" y="769968"/>
        <a:ext cx="763431" cy="6604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Radialni šesterokotnik"/>
  <dgm:desc val="Uporablja se za prikaz posledičnih postopkov, ki so povezani z osrednjo zamislijo ali temo. Omejen je na šest oblik Ravni 2. Najbolje deluje pri kratkih besedilih. Neuporabljeno besedilo se ne prikaže, a ostane na voljo, če preklopite med postavitvami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Radialni šesterokotnik"/>
  <dgm:desc val="Uporablja se za prikaz posledičnih postopkov, ki so povezani z osrednjo zamislijo ali temo. Omejen je na šest oblik Ravni 2. Najbolje deluje pri kratkih besedilih. Neuporabljeno besedilo se ne prikaže, a ostane na voljo, če preklopite med postavitvami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2021-05-25T14:28:00Z</dcterms:created>
  <dcterms:modified xsi:type="dcterms:W3CDTF">2021-05-25T14:28:00Z</dcterms:modified>
</cp:coreProperties>
</file>