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59" w:rsidRDefault="00E13559"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bookmarkStart w:id="0" w:name="_GoBack"/>
      <w:bookmarkEnd w:id="0"/>
      <w:r>
        <w:rPr>
          <w:rFonts w:ascii="Candara" w:eastAsia="Times New Roman" w:hAnsi="Candara" w:cs="Helvetica"/>
          <w:b/>
          <w:bCs/>
          <w:color w:val="002060"/>
          <w:sz w:val="24"/>
          <w:szCs w:val="24"/>
          <w:bdr w:val="single" w:sz="6" w:space="0" w:color="CFD3EB" w:frame="1"/>
          <w:shd w:val="clear" w:color="auto" w:fill="F0F1F9"/>
          <w:lang w:eastAsia="sl-SI"/>
        </w:rPr>
        <w:t>Spoštovani občanke in občani.</w:t>
      </w:r>
    </w:p>
    <w:p w:rsidR="00E13559" w:rsidRDefault="00E13559"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p>
    <w:p w:rsidR="00E13559" w:rsidRPr="00E13559" w:rsidRDefault="00E13559" w:rsidP="00E13559">
      <w:pPr>
        <w:spacing w:after="0" w:line="240" w:lineRule="auto"/>
        <w:jc w:val="both"/>
        <w:rPr>
          <w:rFonts w:ascii="Candara" w:eastAsia="Times New Roman" w:hAnsi="Candara" w:cs="Helvetica"/>
          <w:bCs/>
          <w:color w:val="002060"/>
          <w:sz w:val="24"/>
          <w:szCs w:val="24"/>
          <w:bdr w:val="single" w:sz="6" w:space="0" w:color="CFD3EB" w:frame="1"/>
          <w:shd w:val="clear" w:color="auto" w:fill="F0F1F9"/>
          <w:lang w:eastAsia="sl-SI"/>
        </w:rPr>
      </w:pPr>
      <w:r w:rsidRPr="00E13559">
        <w:rPr>
          <w:rFonts w:ascii="Candara" w:eastAsia="Times New Roman" w:hAnsi="Candara" w:cs="Helvetica"/>
          <w:bCs/>
          <w:color w:val="002060"/>
          <w:sz w:val="24"/>
          <w:szCs w:val="24"/>
          <w:bdr w:val="single" w:sz="6" w:space="0" w:color="CFD3EB" w:frame="1"/>
          <w:shd w:val="clear" w:color="auto" w:fill="F0F1F9"/>
          <w:lang w:eastAsia="sl-SI"/>
        </w:rPr>
        <w:t xml:space="preserve">Vlada RS je sprejela ukrepe za zajezitev epidemije. </w:t>
      </w:r>
      <w:r>
        <w:rPr>
          <w:rFonts w:ascii="Candara" w:eastAsia="Times New Roman" w:hAnsi="Candara" w:cs="Helvetica"/>
          <w:bCs/>
          <w:color w:val="002060"/>
          <w:sz w:val="24"/>
          <w:szCs w:val="24"/>
          <w:bdr w:val="single" w:sz="6" w:space="0" w:color="CFD3EB" w:frame="1"/>
          <w:shd w:val="clear" w:color="auto" w:fill="F0F1F9"/>
          <w:lang w:eastAsia="sl-SI"/>
        </w:rPr>
        <w:t xml:space="preserve">Verjamemo, da nam ukrepi ne bodo uničili praznikov, nespoštovanje pa nas lahko pahne v okužbo, bolezen in celo prezgodnjo smrt. </w:t>
      </w:r>
    </w:p>
    <w:p w:rsidR="00E13559" w:rsidRDefault="00E13559" w:rsidP="00E13559">
      <w:pPr>
        <w:spacing w:after="0" w:line="240" w:lineRule="auto"/>
        <w:jc w:val="both"/>
        <w:rPr>
          <w:rFonts w:ascii="Candara" w:eastAsia="Times New Roman" w:hAnsi="Candara" w:cs="Helvetica"/>
          <w:bCs/>
          <w:color w:val="002060"/>
          <w:sz w:val="24"/>
          <w:szCs w:val="24"/>
          <w:bdr w:val="single" w:sz="6" w:space="0" w:color="CFD3EB" w:frame="1"/>
          <w:shd w:val="clear" w:color="auto" w:fill="F0F1F9"/>
          <w:lang w:eastAsia="sl-SI"/>
        </w:rPr>
      </w:pPr>
      <w:r>
        <w:rPr>
          <w:rFonts w:ascii="Candara" w:eastAsia="Times New Roman" w:hAnsi="Candara" w:cs="Helvetica"/>
          <w:bCs/>
          <w:color w:val="002060"/>
          <w:sz w:val="24"/>
          <w:szCs w:val="24"/>
          <w:bdr w:val="single" w:sz="6" w:space="0" w:color="CFD3EB" w:frame="1"/>
          <w:shd w:val="clear" w:color="auto" w:fill="F0F1F9"/>
          <w:lang w:eastAsia="sl-SI"/>
        </w:rPr>
        <w:t>Prosimo vas, da ukrepe in omejitve v največji možni meri spoštujete ter skrbite za lastno varnost in zdravje ter varnost in zdravje vseh nas.</w:t>
      </w:r>
    </w:p>
    <w:p w:rsidR="00E13559" w:rsidRDefault="00E13559" w:rsidP="00E13559">
      <w:pPr>
        <w:spacing w:after="0" w:line="240" w:lineRule="auto"/>
        <w:jc w:val="both"/>
        <w:rPr>
          <w:rFonts w:ascii="Candara" w:eastAsia="Times New Roman" w:hAnsi="Candara" w:cs="Helvetica"/>
          <w:bCs/>
          <w:color w:val="002060"/>
          <w:sz w:val="24"/>
          <w:szCs w:val="24"/>
          <w:bdr w:val="single" w:sz="6" w:space="0" w:color="CFD3EB" w:frame="1"/>
          <w:shd w:val="clear" w:color="auto" w:fill="F0F1F9"/>
          <w:lang w:eastAsia="sl-SI"/>
        </w:rPr>
      </w:pPr>
    </w:p>
    <w:p w:rsidR="00E13559" w:rsidRDefault="00E13559" w:rsidP="00966BF1">
      <w:pPr>
        <w:spacing w:after="0" w:line="240" w:lineRule="auto"/>
        <w:jc w:val="right"/>
        <w:rPr>
          <w:rFonts w:ascii="Candara" w:eastAsia="Times New Roman" w:hAnsi="Candara" w:cs="Helvetica"/>
          <w:bCs/>
          <w:color w:val="002060"/>
          <w:sz w:val="24"/>
          <w:szCs w:val="24"/>
          <w:bdr w:val="single" w:sz="6" w:space="0" w:color="CFD3EB" w:frame="1"/>
          <w:shd w:val="clear" w:color="auto" w:fill="F0F1F9"/>
          <w:lang w:eastAsia="sl-SI"/>
        </w:rPr>
      </w:pPr>
      <w:r>
        <w:rPr>
          <w:rFonts w:ascii="Candara" w:eastAsia="Times New Roman" w:hAnsi="Candara" w:cs="Helvetica"/>
          <w:bCs/>
          <w:color w:val="002060"/>
          <w:sz w:val="24"/>
          <w:szCs w:val="24"/>
          <w:bdr w:val="single" w:sz="6" w:space="0" w:color="CFD3EB" w:frame="1"/>
          <w:shd w:val="clear" w:color="auto" w:fill="F0F1F9"/>
          <w:lang w:eastAsia="sl-SI"/>
        </w:rPr>
        <w:t>Štab CZ Občine Vojnik</w:t>
      </w:r>
    </w:p>
    <w:p w:rsidR="00E13559" w:rsidRDefault="00E13559" w:rsidP="00966BF1">
      <w:pPr>
        <w:spacing w:after="0" w:line="240" w:lineRule="auto"/>
        <w:jc w:val="right"/>
        <w:rPr>
          <w:rFonts w:ascii="Candara" w:eastAsia="Times New Roman" w:hAnsi="Candara" w:cs="Helvetica"/>
          <w:b/>
          <w:bCs/>
          <w:color w:val="002060"/>
          <w:sz w:val="24"/>
          <w:szCs w:val="24"/>
          <w:bdr w:val="single" w:sz="6" w:space="0" w:color="CFD3EB" w:frame="1"/>
          <w:shd w:val="clear" w:color="auto" w:fill="F0F1F9"/>
          <w:lang w:eastAsia="sl-SI"/>
        </w:rPr>
      </w:pPr>
      <w:r>
        <w:rPr>
          <w:rFonts w:ascii="Candara" w:eastAsia="Times New Roman" w:hAnsi="Candara" w:cs="Helvetica"/>
          <w:bCs/>
          <w:color w:val="002060"/>
          <w:sz w:val="24"/>
          <w:szCs w:val="24"/>
          <w:bdr w:val="single" w:sz="6" w:space="0" w:color="CFD3EB" w:frame="1"/>
          <w:shd w:val="clear" w:color="auto" w:fill="F0F1F9"/>
          <w:lang w:eastAsia="sl-SI"/>
        </w:rPr>
        <w:t xml:space="preserve">Arnold </w:t>
      </w:r>
      <w:proofErr w:type="spellStart"/>
      <w:r>
        <w:rPr>
          <w:rFonts w:ascii="Candara" w:eastAsia="Times New Roman" w:hAnsi="Candara" w:cs="Helvetica"/>
          <w:bCs/>
          <w:color w:val="002060"/>
          <w:sz w:val="24"/>
          <w:szCs w:val="24"/>
          <w:bdr w:val="single" w:sz="6" w:space="0" w:color="CFD3EB" w:frame="1"/>
          <w:shd w:val="clear" w:color="auto" w:fill="F0F1F9"/>
          <w:lang w:eastAsia="sl-SI"/>
        </w:rPr>
        <w:t>Ledl</w:t>
      </w:r>
      <w:proofErr w:type="spellEnd"/>
      <w:r>
        <w:rPr>
          <w:rFonts w:ascii="Candara" w:eastAsia="Times New Roman" w:hAnsi="Candara" w:cs="Helvetica"/>
          <w:bCs/>
          <w:color w:val="002060"/>
          <w:sz w:val="24"/>
          <w:szCs w:val="24"/>
          <w:bdr w:val="single" w:sz="6" w:space="0" w:color="CFD3EB" w:frame="1"/>
          <w:shd w:val="clear" w:color="auto" w:fill="F0F1F9"/>
          <w:lang w:eastAsia="sl-SI"/>
        </w:rPr>
        <w:t>, poveljnik</w:t>
      </w:r>
    </w:p>
    <w:p w:rsidR="00E13559" w:rsidRDefault="00E13559"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p>
    <w:p w:rsidR="00966BF1" w:rsidRDefault="00966BF1"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p>
    <w:p w:rsidR="006A0E98" w:rsidRDefault="006A0E98"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Pr>
          <w:rFonts w:ascii="Candara" w:eastAsia="Times New Roman" w:hAnsi="Candara" w:cs="Helvetica"/>
          <w:b/>
          <w:bCs/>
          <w:color w:val="002060"/>
          <w:sz w:val="24"/>
          <w:szCs w:val="24"/>
          <w:bdr w:val="single" w:sz="6" w:space="0" w:color="CFD3EB" w:frame="1"/>
          <w:shd w:val="clear" w:color="auto" w:fill="F0F1F9"/>
          <w:lang w:eastAsia="sl-SI"/>
        </w:rPr>
        <w:t>Ukrepi Vlade RS od 1. do 11. aprila 2021</w:t>
      </w:r>
    </w:p>
    <w:p w:rsidR="006A0E98" w:rsidRDefault="006A0E98"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t>UKREPI</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 xml:space="preserve">Od 1. do 11. aprila se uvede zaprtje države oziroma </w:t>
      </w:r>
      <w:proofErr w:type="spellStart"/>
      <w:r w:rsidRPr="008623EF">
        <w:rPr>
          <w:rFonts w:ascii="Candara" w:eastAsia="Times New Roman" w:hAnsi="Candara" w:cs="Helvetica"/>
          <w:color w:val="000000"/>
          <w:sz w:val="24"/>
          <w:szCs w:val="24"/>
          <w:bdr w:val="single" w:sz="6" w:space="0" w:color="CFD3EB" w:frame="1"/>
          <w:shd w:val="clear" w:color="auto" w:fill="F0F1F9"/>
          <w:lang w:eastAsia="sl-SI"/>
        </w:rPr>
        <w:t>lockdown</w:t>
      </w:r>
      <w:proofErr w:type="spellEnd"/>
      <w:r w:rsidRPr="008623EF">
        <w:rPr>
          <w:rFonts w:ascii="Candara" w:eastAsia="Times New Roman" w:hAnsi="Candara" w:cs="Helvetica"/>
          <w:color w:val="000000"/>
          <w:sz w:val="24"/>
          <w:szCs w:val="24"/>
          <w:bdr w:val="single" w:sz="6" w:space="0" w:color="CFD3EB" w:frame="1"/>
          <w:shd w:val="clear" w:color="auto" w:fill="F0F1F9"/>
          <w:lang w:eastAsia="sl-SI"/>
        </w:rPr>
        <w:t>. Po tem pa sledijo ukrepi po vladnem semaforju, ki ga bodo po potrebi tudi dopolnili.</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 javnih površinah bo potrebno nositi maske.</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Ponujanje in prodaja blaga in storitev potrošnikom bosta prepovedana. Izjema velja za lekarne, bencinske servise, finančne storitve, pošto, dostavne službe, dimnikarske storitve ter servisne delavnice za popravila in vzdrževanje motornih koles in koles.</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Dovoljena bosta med drugim tudi osebni prevzem blaga ali hrane vključno s prodajo kmetijskih pridelkov na kmetiji in prodaja blaga na daljavo.</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Šolanje bo v času zaprtja potekalo na daljavo, vrtci in prva triada pa poskrbijo za nujno varstvo. 12. aprila bo znova sledilo odprtje - ne glede na epidemiološko sliko.</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Gibanje se omeji na regije.</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Zbiranje do deset ljudi ni več dovoljeno.</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Druženje dveh gospodinjstev bo mogoče na velikonočno nedeljo.</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V rdeče države ni več možno potovati. Odlok začne veljati ob polnoči.</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Od 1. do 11. 4. je prepovedano ponujanje vseh kulturnih storitev uporabnikom.</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V tem času se prekinejo tudi vse verske dejavnosti oz. bogoslužja s prisotnostjo ljudi. Ostaja samo verska duhovna oskrba ljudi v stiski.</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Javni promet bo deloval po poletnem razporedu.</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Zapirajo se smučišča.</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Vozniška in prometna dovoljenja se podaljšajo do 9. maja, v času zapore ne bodo delovale šole vožnje in tehnični pregledi.</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Zaposleni naj bi v tem času v največji možni meri delali od doma oziroma koristili letni dopust.</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V organih državne uprave  je od 1. do 11. 4. lahko na delovnih mestih največ 20% uslužbencev.</w:t>
      </w: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lastRenderedPageBreak/>
        <w:t>Izjeme prehajanja med regijami. Ob upoštevanju priporočil NIJZ je gibanje za dovoljeno za:</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prihod na delo, odhod z dela in izvajanje delovnih nalog,</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opravljanje gospodarskih, kmetijskih in gozdarskih dejavnosti,</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odpravljanje neposredne nevarnosti za zdravje, življenje in premoženje,</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varstvo in pomoč osebam, ki so potrebne podpore, oziroma zaradi oskrbe ali nege družinskih članov ali če gre za izvajanje starševske skrbi in stikov z otrokom,</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dostop do lekarn, zdravstvenih in sanitarnih storitev ter zdraviliškega zdravljenja,</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dostop do tujih diplomatskih in konzularnih predstavništev,</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dostop do storitev za nujne primere,</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dostop do izvajanja nalog, povezanih z delovanjem pravosodnih in upravnih organov ter organov pregona,</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dostop do storitev za osebe s posebnimi potrebami,</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dostop do trgovin ali storitev v drugi statistični regiji, če so bližje prebivališču osebe, kot so te trgovine ali storitve v regiji prebivališča, ali če jih v regiji prebivališča ni.</w:t>
      </w: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t>Uveljavljanje teh izjem velja tudi za ožje družinske člane posameznika in člane skupnega gospodinjstva, kadar potujejo skupaj.</w:t>
      </w: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t>Pri prehajanju med regijami mora imeti posameznik pri sebi dokazilo.</w:t>
      </w: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t>Izjava vsebuje naslednje podatke:</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ime in priimek,</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naslov bivališča,</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naslov oziroma kraj cilja potovanja,</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navedbo razloga, ki upravičuje gibanje in zadrževanje,</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navedbo morebitnih ožjih družinskih članov ali članov skupnega gospodinjstva, ki se gibljejo in zadržujejo z njim,</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navedbo, da njemu ali ožjim družinskim članom ali članom skupnega gospodinjstva, ki se gibljejo in zadržujejo z njim, ni bila odrejena osamitev (izolacija) ali karantena,</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navedbo, da se zaveda kazenske ali odškodninske odgovornosti zaradi neupoštevanja predpisov, odredb ali ukrepov za zatiranje ali preprečevanje nalezljivih bolezni pri ljudeh,</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navedbo, da se zaveda omejitev iz tega odloka in da jih bo spoštoval.</w:t>
      </w: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t>Prehajanje med regijami je ob upoštevanju priporočil NIJZ dovoljeno tudi posamezniku, ki:</w:t>
      </w:r>
    </w:p>
    <w:p w:rsidR="008623EF" w:rsidRPr="008623EF" w:rsidRDefault="008623EF" w:rsidP="008623EF">
      <w:pPr>
        <w:numPr>
          <w:ilvl w:val="0"/>
          <w:numId w:val="4"/>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predloži negativni rezultat testa PCR, ki ni starejši od 48 ur,</w:t>
      </w:r>
    </w:p>
    <w:p w:rsidR="008623EF" w:rsidRPr="008623EF" w:rsidRDefault="008623EF" w:rsidP="008623EF">
      <w:pPr>
        <w:numPr>
          <w:ilvl w:val="0"/>
          <w:numId w:val="4"/>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 xml:space="preserve">predloži dokazilo o cepljenju zoper COVID-19, s katerim dokazuje, da je od prejema drugega odmerka cepiva proizvajalca </w:t>
      </w:r>
      <w:proofErr w:type="spellStart"/>
      <w:r w:rsidRPr="008623EF">
        <w:rPr>
          <w:rFonts w:ascii="Candara" w:eastAsia="Times New Roman" w:hAnsi="Candara" w:cs="Helvetica"/>
          <w:color w:val="000000"/>
          <w:sz w:val="24"/>
          <w:szCs w:val="24"/>
          <w:bdr w:val="single" w:sz="6" w:space="0" w:color="CFD3EB" w:frame="1"/>
          <w:shd w:val="clear" w:color="auto" w:fill="F0F1F9"/>
          <w:lang w:eastAsia="sl-SI"/>
        </w:rPr>
        <w:t>Biontech</w:t>
      </w:r>
      <w:proofErr w:type="spellEnd"/>
      <w:r w:rsidRPr="008623EF">
        <w:rPr>
          <w:rFonts w:ascii="Candara" w:eastAsia="Times New Roman" w:hAnsi="Candara" w:cs="Helvetica"/>
          <w:color w:val="000000"/>
          <w:sz w:val="24"/>
          <w:szCs w:val="24"/>
          <w:bdr w:val="single" w:sz="6" w:space="0" w:color="CFD3EB" w:frame="1"/>
          <w:shd w:val="clear" w:color="auto" w:fill="F0F1F9"/>
          <w:lang w:eastAsia="sl-SI"/>
        </w:rPr>
        <w:t>/</w:t>
      </w:r>
      <w:proofErr w:type="spellStart"/>
      <w:r w:rsidRPr="008623EF">
        <w:rPr>
          <w:rFonts w:ascii="Candara" w:eastAsia="Times New Roman" w:hAnsi="Candara" w:cs="Helvetica"/>
          <w:color w:val="000000"/>
          <w:sz w:val="24"/>
          <w:szCs w:val="24"/>
          <w:bdr w:val="single" w:sz="6" w:space="0" w:color="CFD3EB" w:frame="1"/>
          <w:shd w:val="clear" w:color="auto" w:fill="F0F1F9"/>
          <w:lang w:eastAsia="sl-SI"/>
        </w:rPr>
        <w:t>Pfizer</w:t>
      </w:r>
      <w:proofErr w:type="spellEnd"/>
      <w:r w:rsidRPr="008623EF">
        <w:rPr>
          <w:rFonts w:ascii="Candara" w:eastAsia="Times New Roman" w:hAnsi="Candara" w:cs="Helvetica"/>
          <w:color w:val="000000"/>
          <w:sz w:val="24"/>
          <w:szCs w:val="24"/>
          <w:bdr w:val="single" w:sz="6" w:space="0" w:color="CFD3EB" w:frame="1"/>
          <w:shd w:val="clear" w:color="auto" w:fill="F0F1F9"/>
          <w:lang w:eastAsia="sl-SI"/>
        </w:rPr>
        <w:t xml:space="preserve"> preteklo najmanj sedem dni </w:t>
      </w:r>
      <w:r w:rsidRPr="008623EF">
        <w:rPr>
          <w:rFonts w:ascii="Candara" w:eastAsia="Times New Roman" w:hAnsi="Candara" w:cs="Helvetica"/>
          <w:color w:val="000000"/>
          <w:sz w:val="24"/>
          <w:szCs w:val="24"/>
          <w:bdr w:val="single" w:sz="6" w:space="0" w:color="CFD3EB" w:frame="1"/>
          <w:shd w:val="clear" w:color="auto" w:fill="F0F1F9"/>
          <w:lang w:eastAsia="sl-SI"/>
        </w:rPr>
        <w:lastRenderedPageBreak/>
        <w:t xml:space="preserve">ali proizvajalca Moderna najmanj 14 dni, oziroma od prejema prvega odmerka cepiva proizvajalca </w:t>
      </w:r>
      <w:proofErr w:type="spellStart"/>
      <w:r w:rsidRPr="008623EF">
        <w:rPr>
          <w:rFonts w:ascii="Candara" w:eastAsia="Times New Roman" w:hAnsi="Candara" w:cs="Helvetica"/>
          <w:color w:val="000000"/>
          <w:sz w:val="24"/>
          <w:szCs w:val="24"/>
          <w:bdr w:val="single" w:sz="6" w:space="0" w:color="CFD3EB" w:frame="1"/>
          <w:shd w:val="clear" w:color="auto" w:fill="F0F1F9"/>
          <w:lang w:eastAsia="sl-SI"/>
        </w:rPr>
        <w:t>AstraZeneca</w:t>
      </w:r>
      <w:proofErr w:type="spellEnd"/>
      <w:r w:rsidRPr="008623EF">
        <w:rPr>
          <w:rFonts w:ascii="Candara" w:eastAsia="Times New Roman" w:hAnsi="Candara" w:cs="Helvetica"/>
          <w:color w:val="000000"/>
          <w:sz w:val="24"/>
          <w:szCs w:val="24"/>
          <w:bdr w:val="single" w:sz="6" w:space="0" w:color="CFD3EB" w:frame="1"/>
          <w:shd w:val="clear" w:color="auto" w:fill="F0F1F9"/>
          <w:lang w:eastAsia="sl-SI"/>
        </w:rPr>
        <w:t xml:space="preserve"> najmanj 21 dni,</w:t>
      </w:r>
    </w:p>
    <w:p w:rsidR="008623EF" w:rsidRPr="008623EF" w:rsidRDefault="008623EF" w:rsidP="008623EF">
      <w:pPr>
        <w:numPr>
          <w:ilvl w:val="0"/>
          <w:numId w:val="4"/>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ima potrdilo o pozitivnem rezultatu testa PCR, ki je starejši od 21 dni, vendar ni starejši od šest mesecev, ali</w:t>
      </w:r>
    </w:p>
    <w:p w:rsidR="008623EF" w:rsidRPr="008623EF" w:rsidRDefault="008623EF" w:rsidP="008623EF">
      <w:pPr>
        <w:numPr>
          <w:ilvl w:val="0"/>
          <w:numId w:val="4"/>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ima potrdilo zdravnika, da je prebolel COVID-19 in od začetka simptomov ni minilo več kot šest mesecev.</w:t>
      </w:r>
    </w:p>
    <w:p w:rsidR="008623EF" w:rsidRPr="008623EF" w:rsidRDefault="008623EF" w:rsidP="008623EF">
      <w:pPr>
        <w:spacing w:after="0" w:line="240" w:lineRule="auto"/>
        <w:rPr>
          <w:rFonts w:ascii="Candara" w:eastAsia="Times New Roman" w:hAnsi="Candara" w:cs="Helvetica"/>
          <w:b/>
          <w:bCs/>
          <w:color w:val="000000"/>
          <w:sz w:val="24"/>
          <w:szCs w:val="24"/>
          <w:bdr w:val="single" w:sz="6" w:space="0" w:color="CFD3EB" w:frame="1"/>
          <w:shd w:val="clear" w:color="auto" w:fill="F0F1F9"/>
          <w:lang w:eastAsia="sl-SI"/>
        </w:rPr>
      </w:pPr>
      <w:r w:rsidRPr="008623EF">
        <w:rPr>
          <w:rFonts w:ascii="Candara" w:eastAsia="Times New Roman" w:hAnsi="Candara" w:cs="Helvetica"/>
          <w:b/>
          <w:bCs/>
          <w:color w:val="000000"/>
          <w:sz w:val="24"/>
          <w:szCs w:val="24"/>
          <w:bdr w:val="single" w:sz="6" w:space="0" w:color="CFD3EB" w:frame="1"/>
          <w:shd w:val="clear" w:color="auto" w:fill="F0F1F9"/>
          <w:lang w:eastAsia="sl-SI"/>
        </w:rPr>
        <w:t> </w:t>
      </w: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t>Selitev med prebivališči ni dovoljena. Šteje se, da posameznik prebiva v regiji, če ima v tej regiji stalno ali začasno prebivališče. Če ima posameznik stalno ali začasno prebivališče v različnih regijah, je lahko nastanjen samo na enem naslovu prebivanja in se ne sme seliti med obema prebivališčema.</w:t>
      </w:r>
    </w:p>
    <w:p w:rsidR="00E1363A" w:rsidRPr="00F82CCA" w:rsidRDefault="00E1363A">
      <w:pPr>
        <w:rPr>
          <w:rFonts w:ascii="Candara" w:hAnsi="Candara"/>
        </w:rPr>
      </w:pPr>
    </w:p>
    <w:sectPr w:rsidR="00E1363A" w:rsidRPr="00F82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E0A12"/>
    <w:multiLevelType w:val="multilevel"/>
    <w:tmpl w:val="FD9CE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E35DC6"/>
    <w:multiLevelType w:val="multilevel"/>
    <w:tmpl w:val="7C96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6C02E3"/>
    <w:multiLevelType w:val="multilevel"/>
    <w:tmpl w:val="E1B0C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341AD0"/>
    <w:multiLevelType w:val="multilevel"/>
    <w:tmpl w:val="AD8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3EF"/>
    <w:rsid w:val="0017290E"/>
    <w:rsid w:val="006A0E98"/>
    <w:rsid w:val="008623EF"/>
    <w:rsid w:val="00965B70"/>
    <w:rsid w:val="00966BF1"/>
    <w:rsid w:val="00E13559"/>
    <w:rsid w:val="00E1363A"/>
    <w:rsid w:val="00F82C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381330">
      <w:bodyDiv w:val="1"/>
      <w:marLeft w:val="0"/>
      <w:marRight w:val="0"/>
      <w:marTop w:val="0"/>
      <w:marBottom w:val="0"/>
      <w:divBdr>
        <w:top w:val="none" w:sz="0" w:space="0" w:color="auto"/>
        <w:left w:val="none" w:sz="0" w:space="0" w:color="auto"/>
        <w:bottom w:val="none" w:sz="0" w:space="0" w:color="auto"/>
        <w:right w:val="none" w:sz="0" w:space="0" w:color="auto"/>
      </w:divBdr>
      <w:divsChild>
        <w:div w:id="1003438981">
          <w:marLeft w:val="0"/>
          <w:marRight w:val="0"/>
          <w:marTop w:val="0"/>
          <w:marBottom w:val="0"/>
          <w:divBdr>
            <w:top w:val="none" w:sz="0" w:space="0" w:color="auto"/>
            <w:left w:val="none" w:sz="0" w:space="0" w:color="auto"/>
            <w:bottom w:val="none" w:sz="0" w:space="0" w:color="auto"/>
            <w:right w:val="none" w:sz="0" w:space="0" w:color="auto"/>
          </w:divBdr>
          <w:divsChild>
            <w:div w:id="1827553906">
              <w:marLeft w:val="0"/>
              <w:marRight w:val="0"/>
              <w:marTop w:val="0"/>
              <w:marBottom w:val="0"/>
              <w:divBdr>
                <w:top w:val="none" w:sz="0" w:space="0" w:color="auto"/>
                <w:left w:val="none" w:sz="0" w:space="0" w:color="auto"/>
                <w:bottom w:val="none" w:sz="0" w:space="0" w:color="auto"/>
                <w:right w:val="none" w:sz="0" w:space="0" w:color="auto"/>
              </w:divBdr>
              <w:divsChild>
                <w:div w:id="127742966">
                  <w:marLeft w:val="0"/>
                  <w:marRight w:val="0"/>
                  <w:marTop w:val="0"/>
                  <w:marBottom w:val="0"/>
                  <w:divBdr>
                    <w:top w:val="none" w:sz="0" w:space="0" w:color="auto"/>
                    <w:left w:val="none" w:sz="0" w:space="0" w:color="auto"/>
                    <w:bottom w:val="none" w:sz="0" w:space="0" w:color="auto"/>
                    <w:right w:val="none" w:sz="0" w:space="0" w:color="auto"/>
                  </w:divBdr>
                  <w:divsChild>
                    <w:div w:id="84965820">
                      <w:marLeft w:val="0"/>
                      <w:marRight w:val="0"/>
                      <w:marTop w:val="0"/>
                      <w:marBottom w:val="0"/>
                      <w:divBdr>
                        <w:top w:val="none" w:sz="0" w:space="0" w:color="auto"/>
                        <w:left w:val="none" w:sz="0" w:space="0" w:color="auto"/>
                        <w:bottom w:val="none" w:sz="0" w:space="0" w:color="auto"/>
                        <w:right w:val="none" w:sz="0" w:space="0" w:color="auto"/>
                      </w:divBdr>
                      <w:divsChild>
                        <w:div w:id="1943798941">
                          <w:marLeft w:val="0"/>
                          <w:marRight w:val="0"/>
                          <w:marTop w:val="0"/>
                          <w:marBottom w:val="0"/>
                          <w:divBdr>
                            <w:top w:val="none" w:sz="0" w:space="0" w:color="auto"/>
                            <w:left w:val="none" w:sz="0" w:space="0" w:color="auto"/>
                            <w:bottom w:val="none" w:sz="0" w:space="0" w:color="auto"/>
                            <w:right w:val="none" w:sz="0" w:space="0" w:color="auto"/>
                          </w:divBdr>
                          <w:divsChild>
                            <w:div w:id="813061249">
                              <w:marLeft w:val="0"/>
                              <w:marRight w:val="0"/>
                              <w:marTop w:val="0"/>
                              <w:marBottom w:val="0"/>
                              <w:divBdr>
                                <w:top w:val="none" w:sz="0" w:space="0" w:color="auto"/>
                                <w:left w:val="none" w:sz="0" w:space="0" w:color="auto"/>
                                <w:bottom w:val="none" w:sz="0" w:space="0" w:color="auto"/>
                                <w:right w:val="none" w:sz="0" w:space="0" w:color="auto"/>
                              </w:divBdr>
                              <w:divsChild>
                                <w:div w:id="1195846533">
                                  <w:marLeft w:val="120"/>
                                  <w:marRight w:val="120"/>
                                  <w:marTop w:val="120"/>
                                  <w:marBottom w:val="120"/>
                                  <w:divBdr>
                                    <w:top w:val="none" w:sz="0" w:space="0" w:color="auto"/>
                                    <w:left w:val="none" w:sz="0" w:space="0" w:color="auto"/>
                                    <w:bottom w:val="none" w:sz="0" w:space="0" w:color="auto"/>
                                    <w:right w:val="none" w:sz="0" w:space="0" w:color="auto"/>
                                  </w:divBdr>
                                  <w:divsChild>
                                    <w:div w:id="331833699">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63564287">
                              <w:marLeft w:val="0"/>
                              <w:marRight w:val="0"/>
                              <w:marTop w:val="0"/>
                              <w:marBottom w:val="0"/>
                              <w:divBdr>
                                <w:top w:val="none" w:sz="0" w:space="0" w:color="auto"/>
                                <w:left w:val="none" w:sz="0" w:space="0" w:color="auto"/>
                                <w:bottom w:val="none" w:sz="0" w:space="0" w:color="auto"/>
                                <w:right w:val="none" w:sz="0" w:space="0" w:color="auto"/>
                              </w:divBdr>
                              <w:divsChild>
                                <w:div w:id="196361084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536509742">
                      <w:marLeft w:val="0"/>
                      <w:marRight w:val="0"/>
                      <w:marTop w:val="0"/>
                      <w:marBottom w:val="0"/>
                      <w:divBdr>
                        <w:top w:val="none" w:sz="0" w:space="0" w:color="auto"/>
                        <w:left w:val="none" w:sz="0" w:space="0" w:color="auto"/>
                        <w:bottom w:val="none" w:sz="0" w:space="0" w:color="auto"/>
                        <w:right w:val="none" w:sz="0" w:space="0" w:color="auto"/>
                      </w:divBdr>
                      <w:divsChild>
                        <w:div w:id="114539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74542">
          <w:marLeft w:val="0"/>
          <w:marRight w:val="0"/>
          <w:marTop w:val="0"/>
          <w:marBottom w:val="0"/>
          <w:divBdr>
            <w:top w:val="none" w:sz="0" w:space="0" w:color="auto"/>
            <w:left w:val="none" w:sz="0" w:space="0" w:color="auto"/>
            <w:bottom w:val="none" w:sz="0" w:space="0" w:color="auto"/>
            <w:right w:val="none" w:sz="0" w:space="0" w:color="auto"/>
          </w:divBdr>
          <w:divsChild>
            <w:div w:id="1978994779">
              <w:marLeft w:val="0"/>
              <w:marRight w:val="0"/>
              <w:marTop w:val="0"/>
              <w:marBottom w:val="0"/>
              <w:divBdr>
                <w:top w:val="none" w:sz="0" w:space="0" w:color="auto"/>
                <w:left w:val="none" w:sz="0" w:space="0" w:color="auto"/>
                <w:bottom w:val="none" w:sz="0" w:space="0" w:color="auto"/>
                <w:right w:val="none" w:sz="0" w:space="0" w:color="auto"/>
              </w:divBdr>
              <w:divsChild>
                <w:div w:id="1031564299">
                  <w:marLeft w:val="0"/>
                  <w:marRight w:val="0"/>
                  <w:marTop w:val="0"/>
                  <w:marBottom w:val="0"/>
                  <w:divBdr>
                    <w:top w:val="none" w:sz="0" w:space="0" w:color="auto"/>
                    <w:left w:val="none" w:sz="0" w:space="0" w:color="auto"/>
                    <w:bottom w:val="none" w:sz="0" w:space="0" w:color="auto"/>
                    <w:right w:val="none" w:sz="0" w:space="0" w:color="auto"/>
                  </w:divBdr>
                  <w:divsChild>
                    <w:div w:id="1579945058">
                      <w:marLeft w:val="0"/>
                      <w:marRight w:val="0"/>
                      <w:marTop w:val="0"/>
                      <w:marBottom w:val="0"/>
                      <w:divBdr>
                        <w:top w:val="none" w:sz="0" w:space="0" w:color="auto"/>
                        <w:left w:val="none" w:sz="0" w:space="0" w:color="auto"/>
                        <w:bottom w:val="none" w:sz="0" w:space="0" w:color="auto"/>
                        <w:right w:val="none" w:sz="0" w:space="0" w:color="auto"/>
                      </w:divBdr>
                      <w:divsChild>
                        <w:div w:id="1041784881">
                          <w:marLeft w:val="0"/>
                          <w:marRight w:val="0"/>
                          <w:marTop w:val="0"/>
                          <w:marBottom w:val="0"/>
                          <w:divBdr>
                            <w:top w:val="none" w:sz="0" w:space="0" w:color="auto"/>
                            <w:left w:val="none" w:sz="0" w:space="0" w:color="auto"/>
                            <w:bottom w:val="none" w:sz="0" w:space="0" w:color="auto"/>
                            <w:right w:val="none" w:sz="0" w:space="0" w:color="auto"/>
                          </w:divBdr>
                          <w:divsChild>
                            <w:div w:id="504053753">
                              <w:marLeft w:val="0"/>
                              <w:marRight w:val="0"/>
                              <w:marTop w:val="0"/>
                              <w:marBottom w:val="0"/>
                              <w:divBdr>
                                <w:top w:val="none" w:sz="0" w:space="0" w:color="auto"/>
                                <w:left w:val="none" w:sz="0" w:space="0" w:color="auto"/>
                                <w:bottom w:val="none" w:sz="0" w:space="0" w:color="auto"/>
                                <w:right w:val="none" w:sz="0" w:space="0" w:color="auto"/>
                              </w:divBdr>
                              <w:divsChild>
                                <w:div w:id="54278666">
                                  <w:marLeft w:val="120"/>
                                  <w:marRight w:val="120"/>
                                  <w:marTop w:val="120"/>
                                  <w:marBottom w:val="120"/>
                                  <w:divBdr>
                                    <w:top w:val="none" w:sz="0" w:space="0" w:color="auto"/>
                                    <w:left w:val="none" w:sz="0" w:space="0" w:color="auto"/>
                                    <w:bottom w:val="none" w:sz="0" w:space="0" w:color="auto"/>
                                    <w:right w:val="none" w:sz="0" w:space="0" w:color="auto"/>
                                  </w:divBdr>
                                  <w:divsChild>
                                    <w:div w:id="1104768501">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206212459">
                              <w:marLeft w:val="0"/>
                              <w:marRight w:val="0"/>
                              <w:marTop w:val="0"/>
                              <w:marBottom w:val="0"/>
                              <w:divBdr>
                                <w:top w:val="none" w:sz="0" w:space="0" w:color="auto"/>
                                <w:left w:val="none" w:sz="0" w:space="0" w:color="auto"/>
                                <w:bottom w:val="none" w:sz="0" w:space="0" w:color="auto"/>
                                <w:right w:val="none" w:sz="0" w:space="0" w:color="auto"/>
                              </w:divBdr>
                              <w:divsChild>
                                <w:div w:id="114767289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897974">
                      <w:marLeft w:val="0"/>
                      <w:marRight w:val="0"/>
                      <w:marTop w:val="0"/>
                      <w:marBottom w:val="0"/>
                      <w:divBdr>
                        <w:top w:val="none" w:sz="0" w:space="0" w:color="auto"/>
                        <w:left w:val="none" w:sz="0" w:space="0" w:color="auto"/>
                        <w:bottom w:val="none" w:sz="0" w:space="0" w:color="auto"/>
                        <w:right w:val="none" w:sz="0" w:space="0" w:color="auto"/>
                      </w:divBdr>
                      <w:divsChild>
                        <w:div w:id="4028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1939">
                  <w:marLeft w:val="0"/>
                  <w:marRight w:val="0"/>
                  <w:marTop w:val="0"/>
                  <w:marBottom w:val="0"/>
                  <w:divBdr>
                    <w:top w:val="none" w:sz="0" w:space="0" w:color="auto"/>
                    <w:left w:val="none" w:sz="0" w:space="0" w:color="auto"/>
                    <w:bottom w:val="none" w:sz="0" w:space="0" w:color="auto"/>
                    <w:right w:val="none" w:sz="0" w:space="0" w:color="auto"/>
                  </w:divBdr>
                  <w:divsChild>
                    <w:div w:id="851996406">
                      <w:marLeft w:val="0"/>
                      <w:marRight w:val="0"/>
                      <w:marTop w:val="0"/>
                      <w:marBottom w:val="0"/>
                      <w:divBdr>
                        <w:top w:val="none" w:sz="0" w:space="0" w:color="auto"/>
                        <w:left w:val="none" w:sz="0" w:space="0" w:color="auto"/>
                        <w:bottom w:val="none" w:sz="0" w:space="0" w:color="auto"/>
                        <w:right w:val="none" w:sz="0" w:space="0" w:color="auto"/>
                      </w:divBdr>
                      <w:divsChild>
                        <w:div w:id="1836262974">
                          <w:marLeft w:val="0"/>
                          <w:marRight w:val="0"/>
                          <w:marTop w:val="0"/>
                          <w:marBottom w:val="0"/>
                          <w:divBdr>
                            <w:top w:val="none" w:sz="0" w:space="0" w:color="auto"/>
                            <w:left w:val="none" w:sz="0" w:space="0" w:color="auto"/>
                            <w:bottom w:val="none" w:sz="0" w:space="0" w:color="auto"/>
                            <w:right w:val="none" w:sz="0" w:space="0" w:color="auto"/>
                          </w:divBdr>
                          <w:divsChild>
                            <w:div w:id="1029069719">
                              <w:marLeft w:val="0"/>
                              <w:marRight w:val="0"/>
                              <w:marTop w:val="0"/>
                              <w:marBottom w:val="0"/>
                              <w:divBdr>
                                <w:top w:val="none" w:sz="0" w:space="0" w:color="auto"/>
                                <w:left w:val="none" w:sz="0" w:space="0" w:color="auto"/>
                                <w:bottom w:val="none" w:sz="0" w:space="0" w:color="auto"/>
                                <w:right w:val="none" w:sz="0" w:space="0" w:color="auto"/>
                              </w:divBdr>
                              <w:divsChild>
                                <w:div w:id="262802848">
                                  <w:marLeft w:val="120"/>
                                  <w:marRight w:val="120"/>
                                  <w:marTop w:val="120"/>
                                  <w:marBottom w:val="120"/>
                                  <w:divBdr>
                                    <w:top w:val="none" w:sz="0" w:space="0" w:color="auto"/>
                                    <w:left w:val="none" w:sz="0" w:space="0" w:color="auto"/>
                                    <w:bottom w:val="none" w:sz="0" w:space="0" w:color="auto"/>
                                    <w:right w:val="none" w:sz="0" w:space="0" w:color="auto"/>
                                  </w:divBdr>
                                  <w:divsChild>
                                    <w:div w:id="385422488">
                                      <w:marLeft w:val="120"/>
                                      <w:marRight w:val="120"/>
                                      <w:marTop w:val="0"/>
                                      <w:marBottom w:val="0"/>
                                      <w:divBdr>
                                        <w:top w:val="none" w:sz="0" w:space="0" w:color="auto"/>
                                        <w:left w:val="none" w:sz="0" w:space="0" w:color="auto"/>
                                        <w:bottom w:val="none" w:sz="0" w:space="0" w:color="auto"/>
                                        <w:right w:val="none" w:sz="0" w:space="0" w:color="auto"/>
                                      </w:divBdr>
                                      <w:divsChild>
                                        <w:div w:id="1222014117">
                                          <w:marLeft w:val="0"/>
                                          <w:marRight w:val="0"/>
                                          <w:marTop w:val="0"/>
                                          <w:marBottom w:val="0"/>
                                          <w:divBdr>
                                            <w:top w:val="none" w:sz="0" w:space="0" w:color="auto"/>
                                            <w:left w:val="none" w:sz="0" w:space="0" w:color="auto"/>
                                            <w:bottom w:val="none" w:sz="0" w:space="0" w:color="auto"/>
                                            <w:right w:val="none" w:sz="0" w:space="0" w:color="auto"/>
                                          </w:divBdr>
                                          <w:divsChild>
                                            <w:div w:id="1966083358">
                                              <w:marLeft w:val="0"/>
                                              <w:marRight w:val="0"/>
                                              <w:marTop w:val="0"/>
                                              <w:marBottom w:val="0"/>
                                              <w:divBdr>
                                                <w:top w:val="none" w:sz="0" w:space="0" w:color="auto"/>
                                                <w:left w:val="none" w:sz="0" w:space="0" w:color="auto"/>
                                                <w:bottom w:val="none" w:sz="0" w:space="0" w:color="auto"/>
                                                <w:right w:val="none" w:sz="0" w:space="0" w:color="auto"/>
                                              </w:divBdr>
                                              <w:divsChild>
                                                <w:div w:id="1783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8367">
                              <w:marLeft w:val="0"/>
                              <w:marRight w:val="0"/>
                              <w:marTop w:val="0"/>
                              <w:marBottom w:val="0"/>
                              <w:divBdr>
                                <w:top w:val="none" w:sz="0" w:space="0" w:color="auto"/>
                                <w:left w:val="none" w:sz="0" w:space="0" w:color="auto"/>
                                <w:bottom w:val="none" w:sz="0" w:space="0" w:color="auto"/>
                                <w:right w:val="none" w:sz="0" w:space="0" w:color="auto"/>
                              </w:divBdr>
                              <w:divsChild>
                                <w:div w:id="167545606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651518229">
                      <w:marLeft w:val="0"/>
                      <w:marRight w:val="0"/>
                      <w:marTop w:val="0"/>
                      <w:marBottom w:val="0"/>
                      <w:divBdr>
                        <w:top w:val="none" w:sz="0" w:space="0" w:color="auto"/>
                        <w:left w:val="none" w:sz="0" w:space="0" w:color="auto"/>
                        <w:bottom w:val="none" w:sz="0" w:space="0" w:color="auto"/>
                        <w:right w:val="none" w:sz="0" w:space="0" w:color="auto"/>
                      </w:divBdr>
                      <w:divsChild>
                        <w:div w:id="18678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4104</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LEA</cp:lastModifiedBy>
  <cp:revision>2</cp:revision>
  <dcterms:created xsi:type="dcterms:W3CDTF">2021-04-01T15:59:00Z</dcterms:created>
  <dcterms:modified xsi:type="dcterms:W3CDTF">2021-04-01T15:59:00Z</dcterms:modified>
</cp:coreProperties>
</file>