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A6" w:rsidRDefault="00B611A6" w:rsidP="00287ABD">
      <w:pPr>
        <w:shd w:val="clear" w:color="auto" w:fill="F4F4F4"/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kern w:val="36"/>
          <w:sz w:val="24"/>
          <w:szCs w:val="24"/>
        </w:rPr>
      </w:pPr>
    </w:p>
    <w:p w:rsidR="00B611A6" w:rsidRDefault="00B611A6" w:rsidP="00B611A6">
      <w:pPr>
        <w:shd w:val="clear" w:color="auto" w:fill="F4F4F4"/>
        <w:spacing w:after="0" w:line="260" w:lineRule="atLeast"/>
        <w:outlineLvl w:val="0"/>
      </w:pPr>
      <w:r>
        <w:t>EKO SKLAD</w:t>
      </w:r>
    </w:p>
    <w:p w:rsidR="00B611A6" w:rsidRDefault="00B611A6" w:rsidP="00B611A6">
      <w:pPr>
        <w:shd w:val="clear" w:color="auto" w:fill="F4F4F4"/>
        <w:spacing w:after="0" w:line="260" w:lineRule="atLeast"/>
        <w:outlineLvl w:val="0"/>
      </w:pPr>
    </w:p>
    <w:p w:rsidR="00B611A6" w:rsidRDefault="00B611A6" w:rsidP="00B611A6">
      <w:pPr>
        <w:shd w:val="clear" w:color="auto" w:fill="F4F4F4"/>
        <w:spacing w:after="0" w:line="260" w:lineRule="atLeast"/>
        <w:outlineLvl w:val="0"/>
      </w:pPr>
      <w:r>
        <w:t xml:space="preserve">Povzela po Nikolaju Torkarju: Lea Sreš </w:t>
      </w:r>
    </w:p>
    <w:p w:rsidR="00B611A6" w:rsidRDefault="00B611A6" w:rsidP="00B611A6">
      <w:pPr>
        <w:shd w:val="clear" w:color="auto" w:fill="F4F4F4"/>
        <w:spacing w:after="0" w:line="260" w:lineRule="atLeast"/>
        <w:outlineLvl w:val="0"/>
        <w:rPr>
          <w:rFonts w:ascii="Times New Roman" w:eastAsia="Times New Roman" w:hAnsi="Times New Roman" w:cs="Times New Roman"/>
          <w:b/>
          <w:bCs/>
          <w:spacing w:val="11"/>
          <w:kern w:val="36"/>
          <w:sz w:val="24"/>
          <w:szCs w:val="24"/>
        </w:rPr>
      </w:pPr>
    </w:p>
    <w:p w:rsidR="00287ABD" w:rsidRDefault="0010406E" w:rsidP="00B611A6">
      <w:pPr>
        <w:shd w:val="clear" w:color="auto" w:fill="F4F4F4"/>
        <w:spacing w:after="0" w:line="260" w:lineRule="atLeast"/>
        <w:outlineLvl w:val="0"/>
        <w:rPr>
          <w:rFonts w:ascii="Times New Roman" w:eastAsia="Times New Roman" w:hAnsi="Times New Roman" w:cs="Times New Roman"/>
          <w:b/>
          <w:bCs/>
          <w:caps/>
          <w:spacing w:val="11"/>
          <w:kern w:val="36"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b/>
          <w:bCs/>
          <w:spacing w:val="11"/>
          <w:kern w:val="36"/>
          <w:sz w:val="24"/>
          <w:szCs w:val="24"/>
        </w:rPr>
        <w:t>Priprava na kurilno sezono</w:t>
      </w: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spacing w:val="11"/>
          <w:kern w:val="36"/>
          <w:sz w:val="24"/>
          <w:szCs w:val="24"/>
        </w:rPr>
      </w:pPr>
    </w:p>
    <w:p w:rsidR="00287ABD" w:rsidRDefault="0009728A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87ABD" w:rsidRPr="002113F8">
        <w:rPr>
          <w:rFonts w:ascii="Times New Roman" w:eastAsia="Times New Roman" w:hAnsi="Times New Roman" w:cs="Times New Roman"/>
          <w:sz w:val="24"/>
          <w:szCs w:val="24"/>
        </w:rPr>
        <w:t>urilna sezona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je začela</w:t>
      </w:r>
      <w:r w:rsidR="00287ABD" w:rsidRPr="002113F8">
        <w:rPr>
          <w:rFonts w:ascii="Times New Roman" w:eastAsia="Times New Roman" w:hAnsi="Times New Roman" w:cs="Times New Roman"/>
          <w:sz w:val="24"/>
          <w:szCs w:val="24"/>
        </w:rPr>
        <w:t xml:space="preserve">. Preden vklopimo ogrevalne naprave, je </w:t>
      </w:r>
      <w:r w:rsidR="00287ABD"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="00287ABD" w:rsidRPr="002113F8">
        <w:rPr>
          <w:rFonts w:ascii="Times New Roman" w:eastAsia="Times New Roman" w:hAnsi="Times New Roman" w:cs="Times New Roman"/>
          <w:sz w:val="24"/>
          <w:szCs w:val="24"/>
        </w:rPr>
        <w:t xml:space="preserve"> postoriti</w:t>
      </w:r>
      <w:r w:rsidR="00287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ABD" w:rsidRPr="002113F8">
        <w:rPr>
          <w:rFonts w:ascii="Times New Roman" w:eastAsia="Times New Roman" w:hAnsi="Times New Roman" w:cs="Times New Roman"/>
          <w:sz w:val="24"/>
          <w:szCs w:val="24"/>
        </w:rPr>
        <w:t>marsikaj, da pozimi ne bo težav z delovanjem in čim bolj gospodarnemu ogrevanju.</w:t>
      </w: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431" w:rsidRPr="002113F8" w:rsidRDefault="00287ABD" w:rsidP="00503431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b/>
          <w:bCs/>
          <w:sz w:val="24"/>
          <w:szCs w:val="24"/>
        </w:rPr>
        <w:t>Reden nadzor serviserja</w:t>
      </w:r>
      <w:r w:rsidR="00503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p</w:t>
      </w:r>
      <w:r w:rsidR="00503431" w:rsidRPr="002113F8">
        <w:rPr>
          <w:rFonts w:ascii="Times New Roman" w:eastAsia="Times New Roman" w:hAnsi="Times New Roman" w:cs="Times New Roman"/>
          <w:b/>
          <w:bCs/>
          <w:sz w:val="24"/>
          <w:szCs w:val="24"/>
        </w:rPr>
        <w:t>ravilna priprava kuriva</w:t>
      </w:r>
      <w:r w:rsidR="00503431">
        <w:rPr>
          <w:rFonts w:ascii="Times New Roman" w:eastAsia="Times New Roman" w:hAnsi="Times New Roman" w:cs="Times New Roman"/>
          <w:b/>
          <w:bCs/>
          <w:sz w:val="24"/>
          <w:szCs w:val="24"/>
        </w:rPr>
        <w:t>, o</w:t>
      </w:r>
      <w:r w:rsidR="00503431" w:rsidRPr="00211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bloge v dimniku </w:t>
      </w:r>
    </w:p>
    <w:p w:rsidR="00503431" w:rsidRPr="002113F8" w:rsidRDefault="00503431" w:rsidP="00503431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2113F8" w:rsidRDefault="00287ABD" w:rsidP="00503431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>Serviserje ogrevalnih naprav pokličemo na obisk v presledkih, ki jih določi proizvajalec, in v primeru drugih napak, tudi tistih, na katere je dolžan opozoriti izvajalec dimnikarske službe. S servisom kurilne naprave in pregledom delovanja regulacije bomo zagotovili, da bo naprava delovala nemoteno in s čim boljšimi izkoristki.</w:t>
      </w:r>
      <w:r w:rsidR="00503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Suha in kvalitetna biomasa je ključ za kvalitetno delovanje kurilne naprave.. </w:t>
      </w: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Pri lesni biomasi je pomembno, ali gre za ogrevanje na drva po stari tehnologiji ali za sodobne </w:t>
      </w:r>
      <w:proofErr w:type="spellStart"/>
      <w:r w:rsidRPr="002113F8">
        <w:rPr>
          <w:rFonts w:ascii="Times New Roman" w:eastAsia="Times New Roman" w:hAnsi="Times New Roman" w:cs="Times New Roman"/>
          <w:sz w:val="24"/>
          <w:szCs w:val="24"/>
        </w:rPr>
        <w:t>uplinjevalne</w:t>
      </w:r>
      <w:proofErr w:type="spellEnd"/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, tako imenovane </w:t>
      </w:r>
      <w:proofErr w:type="spellStart"/>
      <w:r w:rsidRPr="002113F8">
        <w:rPr>
          <w:rFonts w:ascii="Times New Roman" w:eastAsia="Times New Roman" w:hAnsi="Times New Roman" w:cs="Times New Roman"/>
          <w:sz w:val="24"/>
          <w:szCs w:val="24"/>
        </w:rPr>
        <w:t>pirolizne</w:t>
      </w:r>
      <w:proofErr w:type="spellEnd"/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kotle na polena, </w:t>
      </w:r>
      <w:proofErr w:type="spellStart"/>
      <w:r w:rsidRPr="002113F8">
        <w:rPr>
          <w:rFonts w:ascii="Times New Roman" w:eastAsia="Times New Roman" w:hAnsi="Times New Roman" w:cs="Times New Roman"/>
          <w:sz w:val="24"/>
          <w:szCs w:val="24"/>
        </w:rPr>
        <w:t>pelete</w:t>
      </w:r>
      <w:proofErr w:type="spellEnd"/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in sekance. Prvi so tehnološko zastareli, s slabimi izkoristki, slabo regulacijo, večjo količino pepela in porabo lesa ter s pogostejšim čiščenjem. Drugi potrebujejo manj vzdrževanja, imajo višje izkoristke, manjše emisije dimnih plinov (manj CO2, trdnih delcev ...). Pri obojih je potreben kontrolni pregled.</w:t>
      </w:r>
    </w:p>
    <w:p w:rsidR="00503431" w:rsidRDefault="00503431" w:rsidP="00561102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B611A6" w:rsidRDefault="00287ABD" w:rsidP="00B611A6">
      <w:pPr>
        <w:spacing w:after="0" w:line="26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Prav tako je potrebno redno čiščenje radiatorjev, </w:t>
      </w:r>
      <w:r w:rsidR="0010406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o opravimo enkrat letno. Pri ogrevanju s toplotno črpalko preverimo filtre ogrevalnega medija in jih po potrebi očistimo. Očistimo zunanje enote, saj s tem 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 xml:space="preserve">ohranjamo učinkovitost naprave. </w:t>
      </w:r>
      <w:r w:rsidR="0010406E">
        <w:rPr>
          <w:rFonts w:ascii="Times New Roman" w:eastAsia="Times New Roman" w:hAnsi="Times New Roman" w:cs="Times New Roman"/>
          <w:sz w:val="24"/>
          <w:szCs w:val="24"/>
        </w:rPr>
        <w:t>Preverite</w:t>
      </w:r>
      <w:r w:rsidRPr="00A825A5">
        <w:rPr>
          <w:rFonts w:ascii="Times New Roman" w:eastAsia="Times New Roman" w:hAnsi="Times New Roman" w:cs="Times New Roman"/>
          <w:sz w:val="24"/>
          <w:szCs w:val="24"/>
        </w:rPr>
        <w:t xml:space="preserve"> delovanje obtočnih črpalk</w:t>
      </w:r>
      <w:r w:rsidR="0010406E">
        <w:rPr>
          <w:rFonts w:ascii="Times New Roman" w:eastAsia="Times New Roman" w:hAnsi="Times New Roman" w:cs="Times New Roman"/>
          <w:sz w:val="24"/>
          <w:szCs w:val="24"/>
        </w:rPr>
        <w:t>, nujno kontrolirajte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stanje eks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panzijskih posod in varnostnih ventilov. </w:t>
      </w:r>
      <w:proofErr w:type="spellStart"/>
      <w:r w:rsidRPr="002113F8">
        <w:rPr>
          <w:rFonts w:ascii="Times New Roman" w:eastAsia="Times New Roman" w:hAnsi="Times New Roman" w:cs="Times New Roman"/>
          <w:sz w:val="24"/>
          <w:szCs w:val="24"/>
        </w:rPr>
        <w:t>Neodzračeni</w:t>
      </w:r>
      <w:proofErr w:type="spellEnd"/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radiatorji povečajo porabo energenta tudi do 15 odstotkov.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lasične ventile zamenjajmo s termostatskimi, 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>adiatorji morajo biti prosti, ne zakriti z zavesami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1102">
        <w:rPr>
          <w:rFonts w:ascii="Times New Roman" w:hAnsi="Times New Roman" w:cs="Times New Roman"/>
          <w:sz w:val="24"/>
          <w:szCs w:val="24"/>
        </w:rPr>
        <w:t xml:space="preserve">V </w:t>
      </w:r>
      <w:r w:rsidR="00561102" w:rsidRPr="002113F8">
        <w:rPr>
          <w:rFonts w:ascii="Times New Roman" w:hAnsi="Times New Roman" w:cs="Times New Roman"/>
          <w:sz w:val="24"/>
          <w:szCs w:val="24"/>
        </w:rPr>
        <w:t>solarn</w:t>
      </w:r>
      <w:r w:rsidR="00561102">
        <w:rPr>
          <w:rFonts w:ascii="Times New Roman" w:hAnsi="Times New Roman" w:cs="Times New Roman"/>
          <w:sz w:val="24"/>
          <w:szCs w:val="24"/>
        </w:rPr>
        <w:t>em</w:t>
      </w:r>
      <w:r w:rsidR="00561102" w:rsidRPr="002113F8">
        <w:rPr>
          <w:rFonts w:ascii="Times New Roman" w:hAnsi="Times New Roman" w:cs="Times New Roman"/>
          <w:sz w:val="24"/>
          <w:szCs w:val="24"/>
        </w:rPr>
        <w:t xml:space="preserve"> sistem</w:t>
      </w:r>
      <w:r w:rsidR="00561102">
        <w:rPr>
          <w:rFonts w:ascii="Times New Roman" w:hAnsi="Times New Roman" w:cs="Times New Roman"/>
          <w:sz w:val="24"/>
          <w:szCs w:val="24"/>
        </w:rPr>
        <w:t>u</w:t>
      </w:r>
      <w:r w:rsidR="00561102" w:rsidRPr="002113F8">
        <w:rPr>
          <w:rFonts w:ascii="Times New Roman" w:hAnsi="Times New Roman" w:cs="Times New Roman"/>
          <w:sz w:val="24"/>
          <w:szCs w:val="24"/>
        </w:rPr>
        <w:t xml:space="preserve"> je </w:t>
      </w:r>
      <w:r w:rsidR="00561102">
        <w:rPr>
          <w:rFonts w:ascii="Times New Roman" w:hAnsi="Times New Roman" w:cs="Times New Roman"/>
          <w:sz w:val="24"/>
          <w:szCs w:val="24"/>
        </w:rPr>
        <w:t>po</w:t>
      </w:r>
      <w:r w:rsidR="00561102" w:rsidRPr="002113F8">
        <w:rPr>
          <w:rFonts w:ascii="Times New Roman" w:hAnsi="Times New Roman" w:cs="Times New Roman"/>
          <w:sz w:val="24"/>
          <w:szCs w:val="24"/>
        </w:rPr>
        <w:t>treb</w:t>
      </w:r>
      <w:r w:rsidR="00561102">
        <w:rPr>
          <w:rFonts w:ascii="Times New Roman" w:hAnsi="Times New Roman" w:cs="Times New Roman"/>
          <w:sz w:val="24"/>
          <w:szCs w:val="24"/>
        </w:rPr>
        <w:t>no</w:t>
      </w:r>
      <w:r w:rsidR="00561102" w:rsidRPr="002113F8">
        <w:rPr>
          <w:rFonts w:ascii="Times New Roman" w:hAnsi="Times New Roman" w:cs="Times New Roman"/>
          <w:sz w:val="24"/>
          <w:szCs w:val="24"/>
        </w:rPr>
        <w:t xml:space="preserve"> enkrat letno pregledati solarno tekočino in opraviti vzdrževanje. </w:t>
      </w:r>
      <w:r w:rsidR="00503431">
        <w:rPr>
          <w:rFonts w:ascii="Times New Roman" w:eastAsia="Times New Roman" w:hAnsi="Times New Roman" w:cs="Times New Roman"/>
          <w:sz w:val="24"/>
          <w:szCs w:val="24"/>
        </w:rPr>
        <w:t>Ne pozabite na pregled, čiščenje dimnika ter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kotla (grelnika), pa tudi kurilnice, pri čemer mora biti poskrbljeno za u</w:t>
      </w:r>
      <w:r w:rsidR="00503431">
        <w:rPr>
          <w:rFonts w:ascii="Times New Roman" w:eastAsia="Times New Roman" w:hAnsi="Times New Roman" w:cs="Times New Roman"/>
          <w:sz w:val="24"/>
          <w:szCs w:val="24"/>
        </w:rPr>
        <w:t xml:space="preserve">strezno prezračevanje prostora. 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bloge saj in drugih snovi povečujejo rabo goriva in toplotne izgube – že nekaj milimetrov oblog pomeni tudi do 15 odstotkov večje toplotne izgube. </w:t>
      </w:r>
    </w:p>
    <w:p w:rsidR="00287ABD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102" w:rsidRPr="002113F8" w:rsidRDefault="00287ABD" w:rsidP="00561102">
      <w:pPr>
        <w:spacing w:after="0" w:line="2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b/>
          <w:bCs/>
          <w:sz w:val="24"/>
          <w:szCs w:val="24"/>
        </w:rPr>
        <w:t>Optimalna regulacija ogrevanja</w:t>
      </w:r>
      <w:r w:rsidR="005611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61102" w:rsidRPr="0056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učinkovitost, </w:t>
      </w:r>
      <w:r w:rsidR="00561102" w:rsidRPr="002113F8">
        <w:rPr>
          <w:rFonts w:ascii="Times New Roman" w:eastAsia="Times New Roman" w:hAnsi="Times New Roman" w:cs="Times New Roman"/>
          <w:b/>
          <w:bCs/>
          <w:sz w:val="24"/>
          <w:szCs w:val="24"/>
        </w:rPr>
        <w:t>varnost</w:t>
      </w:r>
      <w:r w:rsidR="00561102" w:rsidRPr="0056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102">
        <w:rPr>
          <w:rFonts w:ascii="Times New Roman" w:hAnsi="Times New Roman" w:cs="Times New Roman"/>
          <w:b/>
          <w:sz w:val="24"/>
          <w:szCs w:val="24"/>
        </w:rPr>
        <w:t>in p</w:t>
      </w:r>
      <w:r w:rsidR="00561102" w:rsidRPr="002113F8">
        <w:rPr>
          <w:rFonts w:ascii="Times New Roman" w:hAnsi="Times New Roman" w:cs="Times New Roman"/>
          <w:b/>
          <w:sz w:val="24"/>
          <w:szCs w:val="24"/>
        </w:rPr>
        <w:t>oraba energentov</w:t>
      </w: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503431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>Zelo pomembna je optimalna regulacija ogrevanja, od katere je precej odvisna poraba goriva, pa tudi prihranki. Za pripravo tople vode je treba nastaviti obratovalno temperaturo v hranilniku toplote v mejah, med 55 do 60 stopinjami Celzija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Prostore, v katerih je vgrajena kurilna naprava,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 xml:space="preserve"> ki uporablja zrak iz prostora</w:t>
      </w:r>
      <w:r w:rsidR="005034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10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treba opremiti z javljalnikom ogljikovega </w:t>
      </w:r>
      <w:r w:rsidRPr="00A825A5">
        <w:rPr>
          <w:rFonts w:ascii="Times New Roman" w:eastAsia="Times New Roman" w:hAnsi="Times New Roman" w:cs="Times New Roman"/>
          <w:sz w:val="24"/>
          <w:szCs w:val="24"/>
        </w:rPr>
        <w:t xml:space="preserve">monoksida CO. </w:t>
      </w:r>
    </w:p>
    <w:p w:rsidR="00503431" w:rsidRPr="00503431" w:rsidRDefault="00503431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31">
        <w:rPr>
          <w:rFonts w:ascii="Times New Roman" w:eastAsia="Times New Roman" w:hAnsi="Times New Roman" w:cs="Times New Roman"/>
          <w:b/>
          <w:sz w:val="24"/>
          <w:szCs w:val="24"/>
        </w:rPr>
        <w:t xml:space="preserve">Kdaj na </w:t>
      </w:r>
      <w:r w:rsidRPr="00503431">
        <w:rPr>
          <w:rFonts w:ascii="Times New Roman" w:eastAsia="Times New Roman" w:hAnsi="Times New Roman" w:cs="Times New Roman"/>
          <w:b/>
          <w:sz w:val="24"/>
          <w:szCs w:val="24"/>
        </w:rPr>
        <w:t>brezpla</w:t>
      </w:r>
      <w:r w:rsidRPr="00503431">
        <w:rPr>
          <w:rFonts w:ascii="Times New Roman" w:eastAsia="Times New Roman" w:hAnsi="Times New Roman" w:cs="Times New Roman"/>
          <w:b/>
          <w:sz w:val="24"/>
          <w:szCs w:val="24"/>
        </w:rPr>
        <w:t>čen posvet</w:t>
      </w:r>
      <w:r w:rsidRPr="00503431">
        <w:rPr>
          <w:rFonts w:ascii="Times New Roman" w:eastAsia="Times New Roman" w:hAnsi="Times New Roman" w:cs="Times New Roman"/>
          <w:b/>
          <w:sz w:val="24"/>
          <w:szCs w:val="24"/>
        </w:rPr>
        <w:t xml:space="preserve"> z energetskim svetovalcem</w:t>
      </w:r>
      <w:r w:rsidRPr="00503431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503431" w:rsidRDefault="00503431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>Če smo šele pri pripravi na novo kurilno sezono ugotovili, da smo prejšnje leto porabili preveč goriva, je smotrno razmisliti o posodobitvi, obnovi ali zamenjavi ogrevalnega sistema z bolj varčnim, s katerim lahko bistveno zmanjšamo porabo energenta.</w:t>
      </w:r>
      <w:r w:rsidR="00503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Pri tem imamo 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lastRenderedPageBreak/>
        <w:t>možnost brezplačnega posveta z energetskim svetovalcem, kjer pridobimo informacije o nepovratnih sredstvih, subvencij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 ugodnih kreditov, ki jih ponuja  </w:t>
      </w:r>
      <w:proofErr w:type="spellStart"/>
      <w:r w:rsidRPr="002113F8">
        <w:rPr>
          <w:rFonts w:ascii="Times New Roman" w:eastAsia="Times New Roman" w:hAnsi="Times New Roman" w:cs="Times New Roman"/>
          <w:sz w:val="24"/>
          <w:szCs w:val="24"/>
        </w:rPr>
        <w:t>Eko</w:t>
      </w:r>
      <w:proofErr w:type="spellEnd"/>
      <w:r w:rsidRPr="002113F8">
        <w:rPr>
          <w:rFonts w:ascii="Times New Roman" w:eastAsia="Times New Roman" w:hAnsi="Times New Roman" w:cs="Times New Roman"/>
          <w:sz w:val="24"/>
          <w:szCs w:val="24"/>
        </w:rPr>
        <w:t xml:space="preserve">-sklad. </w:t>
      </w:r>
    </w:p>
    <w:p w:rsidR="00287ABD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3F8">
        <w:rPr>
          <w:rFonts w:ascii="Times New Roman" w:eastAsia="Times New Roman" w:hAnsi="Times New Roman" w:cs="Times New Roman"/>
          <w:sz w:val="24"/>
          <w:szCs w:val="24"/>
        </w:rPr>
        <w:t>Takšno naložbo je najbolje izvesti po končani ogrevalni sezoni, ko imamo čas za tehten premislek in posvet s strokovnjakom.</w:t>
      </w:r>
    </w:p>
    <w:p w:rsidR="00287ABD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87ABD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BD" w:rsidRPr="002113F8" w:rsidRDefault="00287ABD" w:rsidP="00287ABD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0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8328"/>
      </w:tblGrid>
      <w:tr w:rsidR="00287ABD" w:rsidRPr="002F796A" w:rsidTr="00237B99">
        <w:trPr>
          <w:trHeight w:val="6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</w:rPr>
              <w:t> 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sz w:val="52"/>
                <w:szCs w:val="52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  <w:sz w:val="52"/>
                <w:szCs w:val="52"/>
              </w:rPr>
              <w:t>OBČANI</w:t>
            </w:r>
          </w:p>
        </w:tc>
      </w:tr>
      <w:tr w:rsidR="00287ABD" w:rsidRPr="002F796A" w:rsidTr="00237B99">
        <w:trPr>
          <w:trHeight w:val="7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6100"/>
              </w:rPr>
              <w:t>KREDITI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</w:rPr>
            </w:pPr>
            <w:r w:rsidRPr="002F796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287ABD" w:rsidRPr="002F796A" w:rsidTr="00237B99">
        <w:trPr>
          <w:trHeight w:val="10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B86F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JP </w:t>
              </w:r>
              <w:r w:rsidR="00B86F6E">
                <w:rPr>
                  <w:rFonts w:ascii="Calibri" w:eastAsia="Times New Roman" w:hAnsi="Calibri" w:cs="Calibri"/>
                  <w:color w:val="0000FF"/>
                  <w:u w:val="single"/>
                </w:rPr>
                <w:t>65</w:t>
              </w:r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OB1</w:t>
              </w:r>
              <w:r w:rsidR="00B86F6E">
                <w:rPr>
                  <w:rFonts w:ascii="Calibri" w:eastAsia="Times New Roman" w:hAnsi="Calibri" w:cs="Calibri"/>
                  <w:color w:val="0000FF"/>
                  <w:u w:val="single"/>
                </w:rPr>
                <w:t>9</w:t>
              </w:r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Kreditiranje okoljskih naložb občanov </w:t>
            </w:r>
          </w:p>
        </w:tc>
      </w:tr>
      <w:tr w:rsidR="00287ABD" w:rsidRPr="002F796A" w:rsidTr="00237B99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87ABD" w:rsidRPr="002F796A" w:rsidTr="00237B99">
        <w:trPr>
          <w:trHeight w:val="870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NEPOVRATNE FINANČNE SPODBUDE </w:t>
            </w:r>
          </w:p>
        </w:tc>
      </w:tr>
      <w:tr w:rsidR="00287ABD" w:rsidRPr="002F796A" w:rsidTr="00237B99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67SUB-OBPO19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Nepovratne finančne spodbude za nove skupne naložbe večje energijske učinkovitosti starejših stavb s tremi ali več posameznimi deli stavbe</w:t>
            </w:r>
          </w:p>
        </w:tc>
      </w:tr>
      <w:tr w:rsidR="00287ABD" w:rsidRPr="002F796A" w:rsidTr="00237B99">
        <w:trPr>
          <w:trHeight w:val="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48SUB-SKOB17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Nepovratne finančne spodbude občanom za nove naložbe zamenjave starih kurilnih naprav v skupnih kotlovnicah večstanovanjskih stavb </w:t>
            </w:r>
          </w:p>
        </w:tc>
      </w:tr>
      <w:tr w:rsidR="00287ABD" w:rsidRPr="002F796A" w:rsidTr="00237B99">
        <w:trPr>
          <w:trHeight w:val="6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71SUB-SO19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naprave za samooskrbo z električno energijo</w:t>
            </w:r>
          </w:p>
        </w:tc>
      </w:tr>
      <w:tr w:rsidR="00287ABD" w:rsidRPr="002F796A" w:rsidTr="00237B99">
        <w:trPr>
          <w:trHeight w:val="20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74SUB-OB19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ABD" w:rsidRPr="002F796A" w:rsidRDefault="00287ABD" w:rsidP="00237B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nove naložbe rabe obnovljivih virov energije in večje energijske učinkovitosti stanovanjskih stavb</w:t>
            </w:r>
          </w:p>
        </w:tc>
      </w:tr>
      <w:tr w:rsidR="00287ABD" w:rsidRPr="002F796A" w:rsidTr="00237B99">
        <w:trPr>
          <w:trHeight w:val="6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73SUB-sNESOB19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Nepovratne finančne spodbude občanom za nove naložbe rabe OVE in večje energijske učinkovitosti stanovanjskih stavb ukrepi od J-L </w:t>
            </w:r>
          </w:p>
        </w:tc>
      </w:tr>
      <w:tr w:rsidR="00287ABD" w:rsidRPr="002F796A" w:rsidTr="00237B99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265FB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JP </w:t>
              </w:r>
              <w:r w:rsidR="00265FB3">
                <w:rPr>
                  <w:rFonts w:ascii="Calibri" w:eastAsia="Times New Roman" w:hAnsi="Calibri" w:cs="Calibri"/>
                  <w:color w:val="0000FF"/>
                  <w:u w:val="single"/>
                </w:rPr>
                <w:t>79</w:t>
              </w:r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SUB-EVOB</w:t>
              </w:r>
              <w:r w:rsidR="00265FB3">
                <w:rPr>
                  <w:rFonts w:ascii="Calibri" w:eastAsia="Times New Roman" w:hAnsi="Calibri" w:cs="Calibri"/>
                  <w:color w:val="0000FF"/>
                  <w:u w:val="single"/>
                </w:rPr>
                <w:t>20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Nepovratne finančne spodbude občanom za električna vozila </w:t>
            </w:r>
          </w:p>
        </w:tc>
      </w:tr>
      <w:tr w:rsidR="00287ABD" w:rsidRPr="002F796A" w:rsidTr="00237B99">
        <w:trPr>
          <w:trHeight w:val="12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BD" w:rsidRPr="002F796A" w:rsidRDefault="00894141" w:rsidP="00237B9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r w:rsidR="00287ABD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69SUB-SOCOB19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Nepovratne finančne spodbude socialno šibkim občanom za zamenjavo starih kurilnih naprav z novimi kurilnimi napravami na lesno biomaso v stanovanjskih stavbah</w:t>
            </w:r>
          </w:p>
        </w:tc>
      </w:tr>
      <w:tr w:rsidR="00287ABD" w:rsidRPr="002F796A" w:rsidTr="00237B99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7ABD" w:rsidRPr="002F796A" w:rsidTr="00237B99">
        <w:trPr>
          <w:trHeight w:val="5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ABD" w:rsidRPr="002F796A" w:rsidRDefault="00287ABD" w:rsidP="00237B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B2681" w:rsidRDefault="00503431">
      <w:r>
        <w:t>Povzela po Nikolaju Torkarju: Lea Sreš</w:t>
      </w:r>
    </w:p>
    <w:sectPr w:rsidR="008B2681" w:rsidSect="008B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41" w:rsidRDefault="00894141" w:rsidP="00B611A6">
      <w:pPr>
        <w:spacing w:after="0" w:line="240" w:lineRule="auto"/>
      </w:pPr>
      <w:r>
        <w:separator/>
      </w:r>
    </w:p>
  </w:endnote>
  <w:endnote w:type="continuationSeparator" w:id="0">
    <w:p w:rsidR="00894141" w:rsidRDefault="00894141" w:rsidP="00B6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41" w:rsidRDefault="00894141" w:rsidP="00B611A6">
      <w:pPr>
        <w:spacing w:after="0" w:line="240" w:lineRule="auto"/>
      </w:pPr>
      <w:r>
        <w:separator/>
      </w:r>
    </w:p>
  </w:footnote>
  <w:footnote w:type="continuationSeparator" w:id="0">
    <w:p w:rsidR="00894141" w:rsidRDefault="00894141" w:rsidP="00B6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13E68"/>
    <w:rsid w:val="0009728A"/>
    <w:rsid w:val="0010406E"/>
    <w:rsid w:val="00265FB3"/>
    <w:rsid w:val="00287ABD"/>
    <w:rsid w:val="004E5134"/>
    <w:rsid w:val="00503431"/>
    <w:rsid w:val="00515862"/>
    <w:rsid w:val="00561102"/>
    <w:rsid w:val="00894141"/>
    <w:rsid w:val="008B2681"/>
    <w:rsid w:val="00B611A6"/>
    <w:rsid w:val="00B86F6E"/>
    <w:rsid w:val="00F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11A6"/>
  </w:style>
  <w:style w:type="paragraph" w:styleId="Noga">
    <w:name w:val="footer"/>
    <w:basedOn w:val="Navaden"/>
    <w:link w:val="NogaZnak"/>
    <w:uiPriority w:val="99"/>
    <w:unhideWhenUsed/>
    <w:rsid w:val="00B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1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11A6"/>
  </w:style>
  <w:style w:type="paragraph" w:styleId="Noga">
    <w:name w:val="footer"/>
    <w:basedOn w:val="Navaden"/>
    <w:link w:val="NogaZnak"/>
    <w:uiPriority w:val="99"/>
    <w:unhideWhenUsed/>
    <w:rsid w:val="00B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klad.si/fizicne-osebe/javne-objave/prikazi/publicationID=44" TargetMode="External"/><Relationship Id="rId13" Type="http://schemas.openxmlformats.org/officeDocument/2006/relationships/hyperlink" Target="https://www.ekosklad.si/razpisi/prikazi/tenderID=1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sklad.si/razpisi/prikazi/tenderID=121" TargetMode="External"/><Relationship Id="rId12" Type="http://schemas.openxmlformats.org/officeDocument/2006/relationships/hyperlink" Target="https://www.ekosklad.si/razpisi/prikazi/tenderID=17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ekosklad.si/fizicne-osebe/javne-objave/prikazi/publicationID=4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kosklad.si/fizicne-osebe/nameni/prikazi/actionID=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osklad.si/razpisi/prikazi/tenderID=117" TargetMode="External"/><Relationship Id="rId14" Type="http://schemas.openxmlformats.org/officeDocument/2006/relationships/hyperlink" Target="https://www.ekosklad.si/razpisi/prikazi/tenderID=16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4218</Characters>
  <Application>Microsoft Office Word</Application>
  <DocSecurity>0</DocSecurity>
  <Lines>105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</dc:creator>
  <cp:lastModifiedBy>LEA</cp:lastModifiedBy>
  <cp:revision>2</cp:revision>
  <dcterms:created xsi:type="dcterms:W3CDTF">2020-10-18T05:24:00Z</dcterms:created>
  <dcterms:modified xsi:type="dcterms:W3CDTF">2020-10-18T05:24:00Z</dcterms:modified>
</cp:coreProperties>
</file>