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A" w:rsidRPr="008A570F" w:rsidRDefault="009E2C9A" w:rsidP="009E2C9A">
      <w:pPr>
        <w:tabs>
          <w:tab w:val="left" w:pos="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Struktura bilance prihodkov in odhodkov:</w:t>
      </w:r>
    </w:p>
    <w:p w:rsidR="009E2C9A" w:rsidRDefault="009E2C9A" w:rsidP="009E2C9A">
      <w:pPr>
        <w:jc w:val="both"/>
        <w:rPr>
          <w:rFonts w:ascii="Arial" w:hAnsi="Arial" w:cs="Arial"/>
        </w:rPr>
      </w:pPr>
    </w:p>
    <w:tbl>
      <w:tblPr>
        <w:tblW w:w="6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0"/>
        <w:gridCol w:w="1340"/>
        <w:gridCol w:w="1440"/>
        <w:gridCol w:w="980"/>
      </w:tblGrid>
      <w:tr w:rsidR="009E2C9A" w:rsidRPr="00A80B9D" w:rsidTr="00307AF7">
        <w:trPr>
          <w:trHeight w:val="10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 xml:space="preserve">VELJAVNI proračun za 2012 v EUR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 xml:space="preserve">ZAKLJUČNI RAČUN proračuna 2012 v EUR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v %</w:t>
            </w:r>
          </w:p>
        </w:tc>
      </w:tr>
      <w:tr w:rsidR="009E2C9A" w:rsidRPr="00A80B9D" w:rsidTr="00307AF7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7.410.792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7.305.351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98,6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DAVČNI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5.389.849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5.412.662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100,4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NEDAVČNI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742.590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695.411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93,6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KAPITALSKI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91.800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101.682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110,8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TRANSFERNI PRIHODKI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1.186.553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1.095.596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92,3</w:t>
            </w:r>
          </w:p>
        </w:tc>
      </w:tr>
    </w:tbl>
    <w:p w:rsidR="009E2C9A" w:rsidRDefault="009E2C9A" w:rsidP="009E2C9A">
      <w:pPr>
        <w:jc w:val="both"/>
        <w:rPr>
          <w:rFonts w:ascii="Arial" w:hAnsi="Arial" w:cs="Arial"/>
        </w:rPr>
      </w:pPr>
    </w:p>
    <w:tbl>
      <w:tblPr>
        <w:tblW w:w="64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40"/>
        <w:gridCol w:w="1340"/>
        <w:gridCol w:w="1440"/>
        <w:gridCol w:w="980"/>
      </w:tblGrid>
      <w:tr w:rsidR="009E2C9A" w:rsidRPr="00A80B9D" w:rsidTr="00307AF7">
        <w:trPr>
          <w:trHeight w:val="103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 xml:space="preserve">VELJAVNI proračun za 2012 v EUR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 xml:space="preserve">ZAKLJUČNI RAČUN proračuna 2012 v EUR 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v %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8.419.780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7.503.092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89,1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TEKOČI 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2.216.577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2.051.425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92,5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TEKOČI TRANSFERI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2.621.760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2.498.938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95,3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INVESTICIJSKI ODHODKI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3.499.730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2.881.029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82,3</w:t>
            </w:r>
          </w:p>
        </w:tc>
      </w:tr>
      <w:tr w:rsidR="009E2C9A" w:rsidRPr="00A80B9D" w:rsidTr="00307AF7">
        <w:trPr>
          <w:trHeight w:val="34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INVESTICIJSKI TRANSFERI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81.713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71.700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E2C9A" w:rsidRPr="00A80B9D" w:rsidRDefault="009E2C9A" w:rsidP="00307AF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A80B9D">
              <w:rPr>
                <w:rFonts w:ascii="Arial" w:hAnsi="Arial" w:cs="Arial"/>
                <w:b/>
                <w:bCs/>
                <w:sz w:val="20"/>
              </w:rPr>
              <w:t>87,7</w:t>
            </w:r>
          </w:p>
        </w:tc>
      </w:tr>
    </w:tbl>
    <w:p w:rsidR="004257C8" w:rsidRDefault="004257C8"/>
    <w:p w:rsidR="009E2C9A" w:rsidRDefault="009E2C9A"/>
    <w:p w:rsidR="009E2C9A" w:rsidRDefault="009E2C9A">
      <w:r>
        <w:rPr>
          <w:noProof/>
        </w:rPr>
        <w:drawing>
          <wp:inline distT="0" distB="0" distL="0" distR="0">
            <wp:extent cx="5760720" cy="3546472"/>
            <wp:effectExtent l="19050" t="0" r="11430" b="0"/>
            <wp:docPr id="1" name="Predme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E2C9A" w:rsidRDefault="009E2C9A"/>
    <w:p w:rsidR="009E2C9A" w:rsidRDefault="009E2C9A"/>
    <w:p w:rsidR="009E2C9A" w:rsidRDefault="009E2C9A"/>
    <w:p w:rsidR="009E2C9A" w:rsidRDefault="009E2C9A"/>
    <w:p w:rsidR="009E2C9A" w:rsidRDefault="009E2C9A" w:rsidP="009E2C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Celotni zaključni račun proračuna je objavljen na spletni strani občine. </w:t>
      </w:r>
    </w:p>
    <w:p w:rsidR="009E2C9A" w:rsidRDefault="009E2C9A" w:rsidP="009E2C9A">
      <w:pPr>
        <w:rPr>
          <w:rFonts w:ascii="Arial" w:hAnsi="Arial" w:cs="Arial"/>
        </w:rPr>
      </w:pPr>
    </w:p>
    <w:p w:rsidR="009E2C9A" w:rsidRDefault="009E2C9A" w:rsidP="009E2C9A">
      <w:r>
        <w:rPr>
          <w:noProof/>
        </w:rPr>
        <w:drawing>
          <wp:inline distT="0" distB="0" distL="0" distR="0">
            <wp:extent cx="5972175" cy="4686300"/>
            <wp:effectExtent l="0" t="0" r="0" b="0"/>
            <wp:docPr id="4" name="Predme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9E2C9A" w:rsidSect="0042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C9A"/>
    <w:rsid w:val="004257C8"/>
    <w:rsid w:val="00622C34"/>
    <w:rsid w:val="009D0883"/>
    <w:rsid w:val="009E2C9A"/>
    <w:rsid w:val="00F86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2C9A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Cs w:val="24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2C9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2C9A"/>
    <w:rPr>
      <w:rFonts w:ascii="Tahoma" w:eastAsia="Times New Roman" w:hAnsi="Tahoma" w:cs="Tahoma"/>
      <w:sz w:val="16"/>
      <w:szCs w:val="16"/>
      <w:lang w:val="sl-SI" w:eastAsia="sl-SI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l-SI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l-SI"/>
              <a:t>REALIZACIJA PREJEMKOV PRORAČUNA 2012</a:t>
            </a:r>
          </a:p>
        </c:rich>
      </c:tx>
      <c:layout>
        <c:manualLayout>
          <c:xMode val="edge"/>
          <c:yMode val="edge"/>
          <c:x val="0.21417322834645669"/>
          <c:y val="3.1331602166750447E-2"/>
        </c:manualLayout>
      </c:layout>
      <c:spPr>
        <a:noFill/>
        <a:ln w="25399">
          <a:noFill/>
        </a:ln>
      </c:spPr>
    </c:title>
    <c:view3D>
      <c:perspective val="0"/>
    </c:view3D>
    <c:plotArea>
      <c:layout>
        <c:manualLayout>
          <c:layoutTarget val="inner"/>
          <c:xMode val="edge"/>
          <c:yMode val="edge"/>
          <c:x val="0.49606299212598454"/>
          <c:y val="0.62140992167101861"/>
          <c:w val="0.41259842519685064"/>
          <c:h val="0.27154046997389053"/>
        </c:manualLayout>
      </c:layout>
      <c:pie3DChart>
        <c:varyColors val="1"/>
        <c:ser>
          <c:idx val="0"/>
          <c:order val="0"/>
          <c:spPr>
            <a:ln w="12699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9933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699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9.6850946263296156E-2"/>
                  <c:y val="0.11424321959755032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0.16437394667771787"/>
                  <c:y val="0.10552684119613261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2.0505870976654253E-2"/>
                  <c:y val="9.4591381205554464E-2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-0.20703108164111075"/>
                  <c:y val="0.11108912667967787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0.19795427545241073"/>
                  <c:y val="2.7881642999753268E-2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0.28629976516093381"/>
                  <c:y val="-5.4409897480763622E-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-0.20518870009669843"/>
                  <c:y val="-0.12479238172151569"/>
                </c:manualLayout>
              </c:layout>
              <c:dLblPos val="bestFit"/>
              <c:showCatName val="1"/>
              <c:showPercent val="1"/>
            </c:dLbl>
            <c:dLbl>
              <c:idx val="7"/>
              <c:layout>
                <c:manualLayout>
                  <c:x val="-0.286966569968228"/>
                  <c:y val="-0.15299257464611796"/>
                </c:manualLayout>
              </c:layout>
              <c:dLblPos val="bestFit"/>
              <c:showCatName val="1"/>
              <c:showPercent val="1"/>
            </c:dLbl>
            <c:dLbl>
              <c:idx val="8"/>
              <c:layout>
                <c:manualLayout>
                  <c:x val="-0.26316272965879267"/>
                  <c:y val="-0.29891289229871937"/>
                </c:manualLayout>
              </c:layout>
              <c:dLblPos val="bestFit"/>
              <c:showCatName val="1"/>
              <c:showPercent val="1"/>
            </c:dLbl>
            <c:dLbl>
              <c:idx val="9"/>
              <c:layout>
                <c:manualLayout>
                  <c:x val="-0.23169526177648855"/>
                  <c:y val="-0.39036655674450982"/>
                </c:manualLayout>
              </c:layout>
              <c:dLblPos val="bestFit"/>
              <c:showCatName val="1"/>
              <c:showPercent val="1"/>
            </c:dLbl>
            <c:dLbl>
              <c:idx val="10"/>
              <c:layout>
                <c:manualLayout>
                  <c:x val="-0.14840516645945581"/>
                  <c:y val="-0.4792366018350272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 val="5.3120734908136534E-2"/>
                  <c:y val="-0.46493460753303278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0.16326067136344791"/>
                  <c:y val="-0.31048186284406804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0.22959842519685048"/>
                  <c:y val="-0.14742512955111395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0.29071252935488368"/>
                  <c:y val="-0.16630751284294593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0.18784800165603358"/>
                  <c:y val="-4.7518085332566413E-2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399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dLblPos val="bestFit"/>
            <c:showCatName val="1"/>
            <c:showPercent val="1"/>
            <c:showLeaderLines val="1"/>
          </c:dLbls>
          <c:cat>
            <c:strRef>
              <c:f>List1!$C$2:$C$15</c:f>
              <c:strCache>
                <c:ptCount val="14"/>
                <c:pt idx="0">
                  <c:v>Dohodnina</c:v>
                </c:pt>
                <c:pt idx="1">
                  <c:v>Davki na premoženje</c:v>
                </c:pt>
                <c:pt idx="2">
                  <c:v>Domači davki na blago in storitve</c:v>
                </c:pt>
                <c:pt idx="3">
                  <c:v>Udeležba na dobičku in dohodki od premoženja </c:v>
                </c:pt>
                <c:pt idx="4">
                  <c:v>Takse in pristojbine</c:v>
                </c:pt>
                <c:pt idx="5">
                  <c:v>Globe in druge denarne kazni</c:v>
                </c:pt>
                <c:pt idx="6">
                  <c:v>Drugi nedavčni prihodki</c:v>
                </c:pt>
                <c:pt idx="7">
                  <c:v>Prihodki od prodaje blaga in storitev</c:v>
                </c:pt>
                <c:pt idx="8">
                  <c:v>Prihodki od prodaje zgradb in prostorov</c:v>
                </c:pt>
                <c:pt idx="9">
                  <c:v>Prihodki od prodaje zemljišč</c:v>
                </c:pt>
                <c:pt idx="10">
                  <c:v>Prejeta sredstva iz občinskih proračunov</c:v>
                </c:pt>
                <c:pt idx="11">
                  <c:v>Prejeta sredstva iz državnega proračuna</c:v>
                </c:pt>
                <c:pt idx="12">
                  <c:v>Prejeta sredstva iz drž. pror. iz sredstev pror. Evropske unije </c:v>
                </c:pt>
                <c:pt idx="13">
                  <c:v>Domače zadolževanje</c:v>
                </c:pt>
              </c:strCache>
            </c:strRef>
          </c:cat>
          <c:val>
            <c:numRef>
              <c:f>List1!$E$2:$E$15</c:f>
              <c:numCache>
                <c:formatCode>#,##0.00</c:formatCode>
                <c:ptCount val="14"/>
                <c:pt idx="0">
                  <c:v>62.707237948610171</c:v>
                </c:pt>
                <c:pt idx="1">
                  <c:v>2.984105786447055</c:v>
                </c:pt>
                <c:pt idx="2">
                  <c:v>2.3466603849385339</c:v>
                </c:pt>
                <c:pt idx="3">
                  <c:v>4.8635330597731237</c:v>
                </c:pt>
                <c:pt idx="4">
                  <c:v>4.1728909910666398E-2</c:v>
                </c:pt>
                <c:pt idx="5">
                  <c:v>0.43783565470674585</c:v>
                </c:pt>
                <c:pt idx="6">
                  <c:v>3.283156437656781</c:v>
                </c:pt>
                <c:pt idx="7">
                  <c:v>0.11517861946454136</c:v>
                </c:pt>
                <c:pt idx="8">
                  <c:v>0.30820738451667989</c:v>
                </c:pt>
                <c:pt idx="9">
                  <c:v>0.96994612932080404</c:v>
                </c:pt>
                <c:pt idx="10">
                  <c:v>3.1108255729353393</c:v>
                </c:pt>
                <c:pt idx="11">
                  <c:v>4.2322724285600097</c:v>
                </c:pt>
                <c:pt idx="12">
                  <c:v>6.4287012962852144</c:v>
                </c:pt>
                <c:pt idx="13">
                  <c:v>8.1706042274957724</c:v>
                </c:pt>
              </c:numCache>
            </c:numRef>
          </c:val>
        </c:ser>
      </c:pie3DChart>
      <c:spPr>
        <a:noFill/>
        <a:ln w="25399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l-SI"/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sl-SI"/>
              <a:t>REALIZACIJA ODHODKOV PRORAČUNA 2012 (po proračunskih uporabnikih)</a:t>
            </a:r>
          </a:p>
        </c:rich>
      </c:tx>
      <c:layout>
        <c:manualLayout>
          <c:xMode val="edge"/>
          <c:yMode val="edge"/>
          <c:x val="0.14666683682367906"/>
          <c:y val="2.2830942812646363E-2"/>
        </c:manualLayout>
      </c:layout>
      <c:spPr>
        <a:noFill/>
        <a:ln w="25400">
          <a:noFill/>
        </a:ln>
      </c:spPr>
    </c:title>
    <c:view3D>
      <c:rotY val="120"/>
      <c:perspective val="0"/>
    </c:view3D>
    <c:plotArea>
      <c:layout>
        <c:manualLayout>
          <c:layoutTarget val="inner"/>
          <c:xMode val="edge"/>
          <c:yMode val="edge"/>
          <c:x val="0.17666695421053738"/>
          <c:y val="0.44520647208206726"/>
          <c:w val="0.41000066731879475"/>
          <c:h val="0.22374479109765424"/>
        </c:manualLayout>
      </c:layout>
      <c:pie3DChart>
        <c:varyColors val="1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1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2"/>
            <c:spPr>
              <a:solidFill>
                <a:srgbClr val="8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3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4"/>
            <c:spPr>
              <a:solidFill>
                <a:srgbClr val="00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5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6"/>
            <c:spPr>
              <a:solidFill>
                <a:srgbClr val="00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7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6642840303644693"/>
                  <c:y val="0.29003426098455276"/>
                </c:manualLayout>
              </c:layout>
              <c:dLblPos val="bestFit"/>
              <c:showCatName val="1"/>
              <c:showPercent val="1"/>
            </c:dLbl>
            <c:dLbl>
              <c:idx val="1"/>
              <c:layout>
                <c:manualLayout>
                  <c:x val="-1.1124679774309655E-2"/>
                  <c:y val="0.29076476127507001"/>
                </c:manualLayout>
              </c:layout>
              <c:dLblPos val="bestFit"/>
              <c:showCatName val="1"/>
              <c:showPercent val="1"/>
            </c:dLbl>
            <c:dLbl>
              <c:idx val="2"/>
              <c:layout>
                <c:manualLayout>
                  <c:x val="-0.11722617756612769"/>
                  <c:y val="0.25733064855442689"/>
                </c:manualLayout>
              </c:layout>
              <c:dLblPos val="bestFit"/>
              <c:showCatName val="1"/>
              <c:showPercent val="1"/>
            </c:dLbl>
            <c:dLbl>
              <c:idx val="3"/>
              <c:layout>
                <c:manualLayout>
                  <c:x val="-0.30448661731654841"/>
                  <c:y val="0.23175692733064857"/>
                </c:manualLayout>
              </c:layout>
              <c:dLblPos val="bestFit"/>
              <c:showCatName val="1"/>
              <c:showPercent val="1"/>
            </c:dLbl>
            <c:dLbl>
              <c:idx val="4"/>
              <c:layout>
                <c:manualLayout>
                  <c:x val="-0.18380090213274244"/>
                  <c:y val="8.3274228126064512E-2"/>
                </c:manualLayout>
              </c:layout>
              <c:dLblPos val="bestFit"/>
              <c:showCatName val="1"/>
              <c:showPercent val="1"/>
            </c:dLbl>
            <c:dLbl>
              <c:idx val="5"/>
              <c:layout>
                <c:manualLayout>
                  <c:x val="-2.6506514529995143E-2"/>
                  <c:y val="6.1834665704954793E-2"/>
                </c:manualLayout>
              </c:layout>
              <c:dLblPos val="bestFit"/>
              <c:showCatName val="1"/>
              <c:showPercent val="1"/>
            </c:dLbl>
            <c:dLbl>
              <c:idx val="6"/>
              <c:layout>
                <c:manualLayout>
                  <c:x val="-0.20467757398588635"/>
                  <c:y val="-0.1591266454288634"/>
                </c:manualLayout>
              </c:layout>
              <c:dLblPos val="bestFit"/>
              <c:showCatName val="1"/>
              <c:showPercent val="1"/>
            </c:dLbl>
            <c:dLbl>
              <c:idx val="7"/>
              <c:layout>
                <c:manualLayout>
                  <c:x val="-0.11894195860248008"/>
                  <c:y val="-0.25661777964777321"/>
                </c:manualLayout>
              </c:layout>
              <c:dLblPos val="bestFit"/>
              <c:showCatName val="1"/>
              <c:showPercent val="1"/>
            </c:dLbl>
            <c:dLbl>
              <c:idx val="8"/>
              <c:layout>
                <c:manualLayout>
                  <c:x val="1.3285712040485963E-2"/>
                  <c:y val="-0.32231351806215092"/>
                </c:manualLayout>
              </c:layout>
              <c:dLblPos val="bestFit"/>
              <c:showCatName val="1"/>
              <c:showPercent val="1"/>
            </c:dLbl>
            <c:dLbl>
              <c:idx val="9"/>
              <c:layout>
                <c:manualLayout>
                  <c:x val="0.14876121772203638"/>
                  <c:y val="-0.33459838512552365"/>
                </c:manualLayout>
              </c:layout>
              <c:dLblPos val="bestFit"/>
              <c:showCatName val="1"/>
              <c:showPercent val="1"/>
            </c:dLbl>
            <c:dLbl>
              <c:idx val="10"/>
              <c:layout>
                <c:manualLayout>
                  <c:x val="0.16848979206940459"/>
                  <c:y val="-0.24673138185971044"/>
                </c:manualLayout>
              </c:layout>
              <c:dLblPos val="bestFit"/>
              <c:showCatName val="1"/>
              <c:showPercent val="1"/>
            </c:dLbl>
            <c:dLbl>
              <c:idx val="11"/>
              <c:layout>
                <c:manualLayout>
                  <c:x val="0.21188143398242901"/>
                  <c:y val="-0.17229408346857414"/>
                </c:manualLayout>
              </c:layout>
              <c:dLblPos val="bestFit"/>
              <c:showCatName val="1"/>
              <c:showPercent val="1"/>
            </c:dLbl>
            <c:dLbl>
              <c:idx val="12"/>
              <c:layout>
                <c:manualLayout>
                  <c:x val="0.24975780722020535"/>
                  <c:y val="-0.15172987918494921"/>
                </c:manualLayout>
              </c:layout>
              <c:dLblPos val="bestFit"/>
              <c:showCatName val="1"/>
              <c:showPercent val="1"/>
            </c:dLbl>
            <c:dLbl>
              <c:idx val="13"/>
              <c:layout>
                <c:manualLayout>
                  <c:x val="0.18689691483175389"/>
                  <c:y val="-7.978101019815273E-2"/>
                </c:manualLayout>
              </c:layout>
              <c:dLblPos val="bestFit"/>
              <c:showCatName val="1"/>
              <c:showPercent val="1"/>
            </c:dLbl>
            <c:dLbl>
              <c:idx val="14"/>
              <c:layout>
                <c:manualLayout>
                  <c:x val="0.11827306017885493"/>
                  <c:y val="-4.1563983891326614E-3"/>
                </c:manualLayout>
              </c:layout>
              <c:dLblPos val="bestFit"/>
              <c:showCatName val="1"/>
              <c:showPercent val="1"/>
            </c:dLbl>
            <c:dLbl>
              <c:idx val="15"/>
              <c:layout>
                <c:manualLayout>
                  <c:x val="0.18816178666289479"/>
                  <c:y val="5.6008294764681117E-2"/>
                </c:manualLayout>
              </c:layout>
              <c:dLblPos val="bestFit"/>
              <c:showCatName val="1"/>
              <c:showPercent val="1"/>
            </c:dLbl>
            <c:dLbl>
              <c:idx val="16"/>
              <c:layout>
                <c:manualLayout>
                  <c:x val="0.28386172536816151"/>
                  <c:y val="0.11867884835006311"/>
                </c:manualLayout>
              </c:layout>
              <c:dLblPos val="bestFit"/>
              <c:showCatName val="1"/>
              <c:showPercent val="1"/>
            </c:dLbl>
            <c:dLbl>
              <c:idx val="17"/>
              <c:layout>
                <c:manualLayout>
                  <c:x val="0.25424411020478727"/>
                  <c:y val="0.17573240367854781"/>
                </c:manualLayout>
              </c:layout>
              <c:dLblPos val="bestFit"/>
              <c:showCatName val="1"/>
              <c:showPercent val="1"/>
            </c:dLbl>
            <c:dLbl>
              <c:idx val="18"/>
              <c:layout>
                <c:manualLayout>
                  <c:x val="0.14856161692363296"/>
                  <c:y val="0.21237362505259361"/>
                </c:manualLayout>
              </c:layout>
              <c:dLblPos val="bestFit"/>
              <c:showCatName val="1"/>
              <c:showPercent val="1"/>
            </c:dLbl>
            <c:numFmt formatCode="0.0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sl-SI"/>
              </a:p>
            </c:txPr>
            <c:showCatName val="1"/>
            <c:showPercent val="1"/>
            <c:showLeaderLines val="1"/>
          </c:dLbls>
          <c:cat>
            <c:strRef>
              <c:f>List1!$B$3:$B$21</c:f>
              <c:strCache>
                <c:ptCount val="19"/>
                <c:pt idx="0">
                  <c:v>OBČINSKI SVET</c:v>
                </c:pt>
                <c:pt idx="1">
                  <c:v>NADZORNI ODBOR</c:v>
                </c:pt>
                <c:pt idx="2">
                  <c:v>ŽUPAN</c:v>
                </c:pt>
                <c:pt idx="3">
                  <c:v>OU- SPLOŠNE ZADEVE</c:v>
                </c:pt>
                <c:pt idx="4">
                  <c:v>OU - FINANCE</c:v>
                </c:pt>
                <c:pt idx="5">
                  <c:v>OU - DRUŽBENE DEJAVNOSTI</c:v>
                </c:pt>
                <c:pt idx="6">
                  <c:v>OU - KOMUNALA</c:v>
                </c:pt>
                <c:pt idx="7">
                  <c:v>OU - UREJANJE PROSTORA</c:v>
                </c:pt>
                <c:pt idx="8">
                  <c:v>OU- OBČINSKO PREMOŽENJE</c:v>
                </c:pt>
                <c:pt idx="9">
                  <c:v>OU - POŽARNA VARNOST, ZAŠČITA IN REŠEVANJE, CZ</c:v>
                </c:pt>
                <c:pt idx="10">
                  <c:v>OU - KMETIJSTVO</c:v>
                </c:pt>
                <c:pt idx="11">
                  <c:v>OU - GOSPODARSTVO S TURIZMOM</c:v>
                </c:pt>
                <c:pt idx="12">
                  <c:v>OU - ELEMENTAR</c:v>
                </c:pt>
                <c:pt idx="13">
                  <c:v>SOU MEDOBČINSKI INŠPEKTORAT in REDARSTVO</c:v>
                </c:pt>
                <c:pt idx="14">
                  <c:v>SOU VITANJE IN VOJNIK</c:v>
                </c:pt>
                <c:pt idx="15">
                  <c:v>REŽIJSKI OBRAT</c:v>
                </c:pt>
                <c:pt idx="16">
                  <c:v>KS VOJNIK</c:v>
                </c:pt>
                <c:pt idx="17">
                  <c:v>KS NOVA CERKEV</c:v>
                </c:pt>
                <c:pt idx="18">
                  <c:v>KS FRANKOLOVO</c:v>
                </c:pt>
              </c:strCache>
            </c:strRef>
          </c:cat>
          <c:val>
            <c:numRef>
              <c:f>List1!$D$3:$D$21</c:f>
              <c:numCache>
                <c:formatCode>#,##0.00</c:formatCode>
                <c:ptCount val="19"/>
                <c:pt idx="0">
                  <c:v>1.6041519949375544</c:v>
                </c:pt>
                <c:pt idx="1">
                  <c:v>2.8374968612939842E-2</c:v>
                </c:pt>
                <c:pt idx="2">
                  <c:v>0.9463431875818662</c:v>
                </c:pt>
                <c:pt idx="3">
                  <c:v>6.2611920525564662</c:v>
                </c:pt>
                <c:pt idx="4">
                  <c:v>1.4506286208405816</c:v>
                </c:pt>
                <c:pt idx="5">
                  <c:v>58.180654055687953</c:v>
                </c:pt>
                <c:pt idx="6">
                  <c:v>14.607591110438204</c:v>
                </c:pt>
                <c:pt idx="7">
                  <c:v>0.64136225438792438</c:v>
                </c:pt>
                <c:pt idx="8">
                  <c:v>4.8576373580385255</c:v>
                </c:pt>
                <c:pt idx="9">
                  <c:v>1.4169091889050538</c:v>
                </c:pt>
                <c:pt idx="10">
                  <c:v>0.95431323513026356</c:v>
                </c:pt>
                <c:pt idx="11">
                  <c:v>0.88891353058179212</c:v>
                </c:pt>
                <c:pt idx="12">
                  <c:v>0.18101870535507233</c:v>
                </c:pt>
                <c:pt idx="13">
                  <c:v>2.6136824658420821</c:v>
                </c:pt>
                <c:pt idx="14">
                  <c:v>1.6315140478085566</c:v>
                </c:pt>
                <c:pt idx="15">
                  <c:v>1.7863568779377887</c:v>
                </c:pt>
                <c:pt idx="16">
                  <c:v>0.48078845361352368</c:v>
                </c:pt>
                <c:pt idx="17">
                  <c:v>0.80312223280748818</c:v>
                </c:pt>
                <c:pt idx="18">
                  <c:v>0.66544565893634267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sl-SI"/>
    </a:p>
  </c:txPr>
  <c:externalData r:id="rId2"/>
</c:chartSpac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2013-04-06T04:03:00Z</dcterms:created>
  <dcterms:modified xsi:type="dcterms:W3CDTF">2013-04-06T04:05:00Z</dcterms:modified>
</cp:coreProperties>
</file>