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D2" w:rsidRPr="00B85AE4" w:rsidRDefault="0024356C" w:rsidP="00820BD2">
      <w:pPr>
        <w:spacing w:before="120" w:after="120"/>
        <w:rPr>
          <w:b/>
          <w:color w:val="0070C0"/>
          <w:sz w:val="20"/>
          <w:szCs w:val="20"/>
          <w:u w:val="single"/>
        </w:rPr>
      </w:pPr>
      <w:r w:rsidRPr="00B85AE4">
        <w:rPr>
          <w:b/>
          <w:color w:val="0070C0"/>
          <w:sz w:val="20"/>
          <w:szCs w:val="20"/>
          <w:u w:val="single"/>
        </w:rPr>
        <w:t xml:space="preserve">AJPES obvešča:  </w:t>
      </w:r>
      <w:r w:rsidR="0023119D" w:rsidRPr="00B85AE4">
        <w:rPr>
          <w:b/>
          <w:color w:val="0070C0"/>
          <w:sz w:val="20"/>
          <w:szCs w:val="20"/>
          <w:u w:val="single"/>
        </w:rPr>
        <w:t xml:space="preserve">Novosti pri </w:t>
      </w:r>
      <w:r w:rsidR="00DA0BF6" w:rsidRPr="00B85AE4">
        <w:rPr>
          <w:b/>
          <w:color w:val="0070C0"/>
          <w:sz w:val="20"/>
          <w:szCs w:val="20"/>
          <w:u w:val="single"/>
        </w:rPr>
        <w:t>predložitv</w:t>
      </w:r>
      <w:r w:rsidR="0023119D" w:rsidRPr="00B85AE4">
        <w:rPr>
          <w:b/>
          <w:color w:val="0070C0"/>
          <w:sz w:val="20"/>
          <w:szCs w:val="20"/>
          <w:u w:val="single"/>
        </w:rPr>
        <w:t>i</w:t>
      </w:r>
      <w:r w:rsidR="00DA0BF6" w:rsidRPr="00B85AE4">
        <w:rPr>
          <w:b/>
          <w:color w:val="0070C0"/>
          <w:sz w:val="20"/>
          <w:szCs w:val="20"/>
          <w:u w:val="single"/>
        </w:rPr>
        <w:t xml:space="preserve"> letnih poročil za leto 201</w:t>
      </w:r>
      <w:r w:rsidR="0023119D" w:rsidRPr="00B85AE4">
        <w:rPr>
          <w:b/>
          <w:color w:val="0070C0"/>
          <w:sz w:val="20"/>
          <w:szCs w:val="20"/>
          <w:u w:val="single"/>
        </w:rPr>
        <w:t>6</w:t>
      </w:r>
    </w:p>
    <w:p w:rsidR="00415ADE" w:rsidRPr="00B85AE4" w:rsidRDefault="009C3E7F" w:rsidP="00415ADE">
      <w:pPr>
        <w:jc w:val="both"/>
        <w:rPr>
          <w:sz w:val="20"/>
          <w:szCs w:val="20"/>
        </w:rPr>
      </w:pPr>
      <w:r w:rsidRPr="00B85AE4">
        <w:rPr>
          <w:sz w:val="20"/>
          <w:szCs w:val="20"/>
        </w:rPr>
        <w:t>Približuje se čas oddaje letnih poročil za leto 2016, ki jih je treba predložiti AJPES zaradi</w:t>
      </w:r>
      <w:r w:rsidR="003B2474" w:rsidRPr="00B85AE4">
        <w:rPr>
          <w:bCs/>
          <w:sz w:val="20"/>
          <w:szCs w:val="20"/>
        </w:rPr>
        <w:t xml:space="preserve"> </w:t>
      </w:r>
      <w:r w:rsidR="003B2474" w:rsidRPr="00B85AE4">
        <w:rPr>
          <w:b/>
          <w:bCs/>
          <w:sz w:val="20"/>
          <w:szCs w:val="20"/>
        </w:rPr>
        <w:t>zagotovitve javnosti</w:t>
      </w:r>
      <w:r w:rsidRPr="00B85AE4">
        <w:rPr>
          <w:sz w:val="20"/>
          <w:szCs w:val="20"/>
        </w:rPr>
        <w:t xml:space="preserve">, podatke iz letnih poročil na poenotenih obrazcih pa za </w:t>
      </w:r>
      <w:r w:rsidRPr="00B85AE4">
        <w:rPr>
          <w:b/>
          <w:bCs/>
          <w:sz w:val="20"/>
          <w:szCs w:val="20"/>
        </w:rPr>
        <w:t>državno statistiko</w:t>
      </w:r>
      <w:r w:rsidRPr="00B85AE4">
        <w:rPr>
          <w:sz w:val="20"/>
          <w:szCs w:val="20"/>
        </w:rPr>
        <w:t xml:space="preserve">. </w:t>
      </w:r>
      <w:r w:rsidR="0023119D" w:rsidRPr="00B85AE4">
        <w:rPr>
          <w:sz w:val="20"/>
          <w:szCs w:val="20"/>
        </w:rPr>
        <w:t>Zaradi spremenjenih predpisov (</w:t>
      </w:r>
      <w:hyperlink r:id="rId7" w:history="1">
        <w:r w:rsidR="0023119D" w:rsidRPr="00B85AE4">
          <w:rPr>
            <w:rStyle w:val="Hiperpovezava"/>
            <w:sz w:val="20"/>
            <w:szCs w:val="20"/>
          </w:rPr>
          <w:t>Računovodska Direktiva 2013/34/EU</w:t>
        </w:r>
      </w:hyperlink>
      <w:r w:rsidR="0023119D" w:rsidRPr="00B85AE4">
        <w:rPr>
          <w:sz w:val="20"/>
          <w:szCs w:val="20"/>
        </w:rPr>
        <w:t xml:space="preserve">, </w:t>
      </w:r>
      <w:hyperlink r:id="rId8" w:history="1">
        <w:r w:rsidR="0023119D" w:rsidRPr="00B85AE4">
          <w:rPr>
            <w:rStyle w:val="Hiperpovezava"/>
            <w:sz w:val="20"/>
            <w:szCs w:val="20"/>
          </w:rPr>
          <w:t>Zakon o gospodarskih družbah</w:t>
        </w:r>
      </w:hyperlink>
      <w:r w:rsidR="0023119D" w:rsidRPr="00B85AE4">
        <w:rPr>
          <w:sz w:val="20"/>
          <w:szCs w:val="20"/>
        </w:rPr>
        <w:t xml:space="preserve">, </w:t>
      </w:r>
      <w:hyperlink r:id="rId9" w:history="1">
        <w:r w:rsidR="0023119D" w:rsidRPr="00B85AE4">
          <w:rPr>
            <w:rStyle w:val="Hiperpovezava"/>
            <w:sz w:val="20"/>
            <w:szCs w:val="20"/>
          </w:rPr>
          <w:t>Slovenski računovodski standardi (2016)</w:t>
        </w:r>
      </w:hyperlink>
      <w:r w:rsidR="0023119D" w:rsidRPr="00B85AE4">
        <w:rPr>
          <w:sz w:val="20"/>
          <w:szCs w:val="20"/>
        </w:rPr>
        <w:t xml:space="preserve"> in </w:t>
      </w:r>
      <w:hyperlink r:id="rId10" w:history="1">
        <w:r w:rsidR="0023119D" w:rsidRPr="00B85AE4">
          <w:rPr>
            <w:rStyle w:val="Hiperpovezava"/>
            <w:sz w:val="20"/>
            <w:szCs w:val="20"/>
          </w:rPr>
          <w:t>Enotni kontni okvir</w:t>
        </w:r>
      </w:hyperlink>
      <w:r w:rsidR="0023119D" w:rsidRPr="00B85AE4">
        <w:rPr>
          <w:sz w:val="20"/>
          <w:szCs w:val="20"/>
        </w:rPr>
        <w:t xml:space="preserve">) je AJPES pripravil novo </w:t>
      </w:r>
      <w:hyperlink r:id="rId11" w:history="1">
        <w:r w:rsidR="00917DFC" w:rsidRPr="00B85AE4">
          <w:rPr>
            <w:rStyle w:val="Hiperpovezava"/>
            <w:sz w:val="20"/>
            <w:szCs w:val="20"/>
          </w:rPr>
          <w:t>Navodil</w:t>
        </w:r>
        <w:r w:rsidRPr="00B85AE4">
          <w:rPr>
            <w:rStyle w:val="Hiperpovezava"/>
            <w:sz w:val="20"/>
            <w:szCs w:val="20"/>
          </w:rPr>
          <w:t>o</w:t>
        </w:r>
        <w:r w:rsidR="00917DFC" w:rsidRPr="00B85AE4">
          <w:rPr>
            <w:rStyle w:val="Hiperpovezava"/>
            <w:sz w:val="20"/>
            <w:szCs w:val="20"/>
          </w:rPr>
          <w:t xml:space="preserve"> o predložitvi letnih in zaključnih poročil ter drugih podatkov poslovnih subjektov</w:t>
        </w:r>
      </w:hyperlink>
      <w:r w:rsidR="00917DFC" w:rsidRPr="00B85AE4">
        <w:rPr>
          <w:rStyle w:val="Hiperpovezava"/>
          <w:sz w:val="20"/>
          <w:szCs w:val="20"/>
          <w:u w:val="none"/>
        </w:rPr>
        <w:t xml:space="preserve"> </w:t>
      </w:r>
      <w:r w:rsidR="0023119D" w:rsidRPr="00B85AE4">
        <w:rPr>
          <w:sz w:val="20"/>
          <w:szCs w:val="20"/>
        </w:rPr>
        <w:t xml:space="preserve">(Uradni list Republike Slovenije, </w:t>
      </w:r>
      <w:r w:rsidR="00EE36E3" w:rsidRPr="00B85AE4">
        <w:rPr>
          <w:sz w:val="20"/>
          <w:szCs w:val="20"/>
        </w:rPr>
        <w:t xml:space="preserve">številka </w:t>
      </w:r>
      <w:hyperlink r:id="rId12" w:anchor="!/Kazalo" w:history="1">
        <w:r w:rsidR="00EE36E3" w:rsidRPr="00B85AE4">
          <w:rPr>
            <w:rStyle w:val="Hiperpovezava"/>
            <w:color w:val="auto"/>
            <w:sz w:val="20"/>
            <w:szCs w:val="20"/>
            <w:u w:val="none"/>
          </w:rPr>
          <w:t>86/2016</w:t>
        </w:r>
      </w:hyperlink>
      <w:r w:rsidR="00EE36E3" w:rsidRPr="00B85AE4">
        <w:rPr>
          <w:sz w:val="20"/>
          <w:szCs w:val="20"/>
        </w:rPr>
        <w:t xml:space="preserve">), </w:t>
      </w:r>
      <w:r w:rsidR="00415ADE" w:rsidRPr="00B85AE4">
        <w:rPr>
          <w:sz w:val="20"/>
          <w:szCs w:val="20"/>
        </w:rPr>
        <w:t xml:space="preserve">ki določa </w:t>
      </w:r>
      <w:r w:rsidR="00415ADE" w:rsidRPr="00B85AE4">
        <w:rPr>
          <w:rFonts w:ascii="Arial" w:hAnsi="Arial" w:cs="Arial"/>
          <w:sz w:val="20"/>
          <w:szCs w:val="20"/>
        </w:rPr>
        <w:t xml:space="preserve">roke, sestavne dele, poenostavitve, ki jih organizacije pri </w:t>
      </w:r>
      <w:r w:rsidR="00415ADE" w:rsidRPr="00B85AE4">
        <w:rPr>
          <w:sz w:val="20"/>
          <w:szCs w:val="20"/>
        </w:rPr>
        <w:t xml:space="preserve">poročanju lahko uporabijo in način predlaganja letnih poročil. Navodilo povzema zakonske določbe krovnih predpisov, ki veljajo za poročanje posamezne organizacije glede na njeno pravnoorganizacijsko obliko. </w:t>
      </w:r>
    </w:p>
    <w:p w:rsidR="00917DFC" w:rsidRPr="00B85AE4" w:rsidRDefault="00880F58" w:rsidP="00277BC5">
      <w:pPr>
        <w:spacing w:before="120" w:after="120"/>
        <w:jc w:val="both"/>
        <w:rPr>
          <w:b/>
          <w:color w:val="0070C0"/>
          <w:sz w:val="20"/>
          <w:szCs w:val="20"/>
          <w:u w:val="single"/>
        </w:rPr>
      </w:pPr>
      <w:r w:rsidRPr="00B85AE4">
        <w:rPr>
          <w:b/>
          <w:color w:val="0070C0"/>
          <w:sz w:val="20"/>
          <w:szCs w:val="20"/>
          <w:u w:val="single"/>
        </w:rPr>
        <w:t>Bistvene spremembe</w:t>
      </w:r>
      <w:r w:rsidR="00917DFC" w:rsidRPr="00B85AE4">
        <w:rPr>
          <w:b/>
          <w:color w:val="0070C0"/>
          <w:sz w:val="20"/>
          <w:szCs w:val="20"/>
          <w:u w:val="single"/>
        </w:rPr>
        <w:t>:</w:t>
      </w:r>
    </w:p>
    <w:p w:rsidR="00880F58" w:rsidRPr="00B85AE4" w:rsidRDefault="00880F58" w:rsidP="00277BC5">
      <w:pPr>
        <w:numPr>
          <w:ilvl w:val="0"/>
          <w:numId w:val="6"/>
        </w:numPr>
        <w:spacing w:after="0"/>
        <w:ind w:left="714" w:hanging="357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poenoteni obrazci bilance stanja in izkaza poslovnega izida za vse poslovne subjekte, razen pravnih oseb javnega prava,</w:t>
      </w:r>
    </w:p>
    <w:p w:rsidR="00917DFC" w:rsidRPr="00B85AE4" w:rsidRDefault="00760775" w:rsidP="00277BC5">
      <w:pPr>
        <w:numPr>
          <w:ilvl w:val="0"/>
          <w:numId w:val="6"/>
        </w:numPr>
        <w:spacing w:after="0"/>
        <w:ind w:left="714" w:hanging="357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posebnosti pri</w:t>
      </w:r>
      <w:r w:rsidR="0023119D" w:rsidRPr="00B85AE4">
        <w:rPr>
          <w:sz w:val="20"/>
          <w:szCs w:val="20"/>
        </w:rPr>
        <w:t xml:space="preserve"> posamezn</w:t>
      </w:r>
      <w:r w:rsidRPr="00B85AE4">
        <w:rPr>
          <w:sz w:val="20"/>
          <w:szCs w:val="20"/>
        </w:rPr>
        <w:t>ih</w:t>
      </w:r>
      <w:r w:rsidR="0023119D" w:rsidRPr="00B85AE4">
        <w:rPr>
          <w:sz w:val="20"/>
          <w:szCs w:val="20"/>
        </w:rPr>
        <w:t xml:space="preserve"> vrst</w:t>
      </w:r>
      <w:r w:rsidRPr="00B85AE4">
        <w:rPr>
          <w:sz w:val="20"/>
          <w:szCs w:val="20"/>
        </w:rPr>
        <w:t>ah</w:t>
      </w:r>
      <w:r w:rsidR="0023119D" w:rsidRPr="00B85AE4">
        <w:rPr>
          <w:sz w:val="20"/>
          <w:szCs w:val="20"/>
        </w:rPr>
        <w:t xml:space="preserve"> poslovnih subjektov </w:t>
      </w:r>
      <w:r w:rsidRPr="00B85AE4">
        <w:rPr>
          <w:sz w:val="20"/>
          <w:szCs w:val="20"/>
        </w:rPr>
        <w:t>se poročajo na</w:t>
      </w:r>
      <w:r w:rsidR="0023119D" w:rsidRPr="00B85AE4">
        <w:rPr>
          <w:sz w:val="20"/>
          <w:szCs w:val="20"/>
        </w:rPr>
        <w:t xml:space="preserve"> dodatn</w:t>
      </w:r>
      <w:r w:rsidRPr="00B85AE4">
        <w:rPr>
          <w:sz w:val="20"/>
          <w:szCs w:val="20"/>
        </w:rPr>
        <w:t>ih</w:t>
      </w:r>
      <w:r w:rsidR="00142D9B" w:rsidRPr="00B85AE4">
        <w:rPr>
          <w:sz w:val="20"/>
          <w:szCs w:val="20"/>
        </w:rPr>
        <w:t xml:space="preserve"> </w:t>
      </w:r>
      <w:r w:rsidRPr="00B85AE4">
        <w:rPr>
          <w:sz w:val="20"/>
          <w:szCs w:val="20"/>
        </w:rPr>
        <w:t>obrazcih</w:t>
      </w:r>
      <w:r w:rsidR="00917DFC" w:rsidRPr="00B85AE4">
        <w:rPr>
          <w:sz w:val="20"/>
          <w:szCs w:val="20"/>
        </w:rPr>
        <w:t>;</w:t>
      </w:r>
    </w:p>
    <w:p w:rsidR="00917DFC" w:rsidRPr="00B85AE4" w:rsidRDefault="0023119D" w:rsidP="00277BC5">
      <w:pPr>
        <w:numPr>
          <w:ilvl w:val="0"/>
          <w:numId w:val="6"/>
        </w:numPr>
        <w:spacing w:after="0"/>
        <w:ind w:left="714" w:hanging="357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podatk</w:t>
      </w:r>
      <w:r w:rsidR="00760775" w:rsidRPr="00B85AE4">
        <w:rPr>
          <w:sz w:val="20"/>
          <w:szCs w:val="20"/>
        </w:rPr>
        <w:t>i se vpisujejo</w:t>
      </w:r>
      <w:r w:rsidRPr="00B85AE4">
        <w:rPr>
          <w:sz w:val="20"/>
          <w:szCs w:val="20"/>
        </w:rPr>
        <w:t xml:space="preserve"> v evrih s centi</w:t>
      </w:r>
      <w:r w:rsidR="00142D9B" w:rsidRPr="00B85AE4">
        <w:rPr>
          <w:sz w:val="20"/>
          <w:szCs w:val="20"/>
        </w:rPr>
        <w:t>,</w:t>
      </w:r>
    </w:p>
    <w:p w:rsidR="0023119D" w:rsidRPr="00B85AE4" w:rsidRDefault="0023119D" w:rsidP="00277BC5">
      <w:pPr>
        <w:numPr>
          <w:ilvl w:val="0"/>
          <w:numId w:val="6"/>
        </w:numPr>
        <w:spacing w:after="0"/>
        <w:ind w:left="714" w:hanging="357"/>
        <w:jc w:val="both"/>
        <w:rPr>
          <w:sz w:val="20"/>
          <w:szCs w:val="20"/>
        </w:rPr>
      </w:pPr>
      <w:r w:rsidRPr="00B85AE4">
        <w:rPr>
          <w:sz w:val="20"/>
          <w:szCs w:val="20"/>
        </w:rPr>
        <w:t xml:space="preserve">aplikacija LP za leto 2016 </w:t>
      </w:r>
      <w:r w:rsidR="00B45E0B" w:rsidRPr="00B85AE4">
        <w:rPr>
          <w:sz w:val="20"/>
          <w:szCs w:val="20"/>
        </w:rPr>
        <w:t>ima</w:t>
      </w:r>
      <w:r w:rsidRPr="00B85AE4">
        <w:rPr>
          <w:sz w:val="20"/>
          <w:szCs w:val="20"/>
        </w:rPr>
        <w:t xml:space="preserve"> za vse vrste poslovnih subjektov vgrajene avtomatske sešt</w:t>
      </w:r>
      <w:r w:rsidR="00142D9B" w:rsidRPr="00B85AE4">
        <w:rPr>
          <w:sz w:val="20"/>
          <w:szCs w:val="20"/>
        </w:rPr>
        <w:t>evke,</w:t>
      </w:r>
    </w:p>
    <w:p w:rsidR="009C3E7F" w:rsidRPr="00B85AE4" w:rsidRDefault="00880F58" w:rsidP="00277BC5">
      <w:pPr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spremembe v obrazcih pri nekaterih postavkah oziroma spremembe kontov zaradi prilagoditve poenotenih obrazcev, skladno s SRS,</w:t>
      </w:r>
    </w:p>
    <w:p w:rsidR="00880F58" w:rsidRPr="00B85AE4" w:rsidRDefault="00880F58" w:rsidP="00277BC5">
      <w:pPr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spremenjeni pragovi za razvrščanje družb po velikosti (nov način izračuna velikosti),</w:t>
      </w:r>
    </w:p>
    <w:p w:rsidR="000E0009" w:rsidRPr="00B85AE4" w:rsidRDefault="00880F58" w:rsidP="00277BC5">
      <w:pPr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85AE4">
        <w:rPr>
          <w:sz w:val="20"/>
          <w:szCs w:val="20"/>
        </w:rPr>
        <w:t xml:space="preserve">izdelava </w:t>
      </w:r>
      <w:r w:rsidR="00760775" w:rsidRPr="00B85AE4">
        <w:rPr>
          <w:sz w:val="20"/>
          <w:szCs w:val="20"/>
        </w:rPr>
        <w:t xml:space="preserve">zaključnega poročila </w:t>
      </w:r>
      <w:r w:rsidR="005F7483" w:rsidRPr="00B85AE4">
        <w:rPr>
          <w:sz w:val="20"/>
          <w:szCs w:val="20"/>
        </w:rPr>
        <w:t xml:space="preserve">v </w:t>
      </w:r>
      <w:r w:rsidR="00760775" w:rsidRPr="00B85AE4">
        <w:rPr>
          <w:sz w:val="20"/>
          <w:szCs w:val="20"/>
        </w:rPr>
        <w:t xml:space="preserve">vseh </w:t>
      </w:r>
      <w:r w:rsidR="005F7483" w:rsidRPr="00B85AE4">
        <w:rPr>
          <w:sz w:val="20"/>
          <w:szCs w:val="20"/>
        </w:rPr>
        <w:t xml:space="preserve">primerih </w:t>
      </w:r>
      <w:r w:rsidRPr="00B85AE4">
        <w:rPr>
          <w:sz w:val="20"/>
          <w:szCs w:val="20"/>
        </w:rPr>
        <w:t>prenehanja, v rokih, določenih z ZDavP-2</w:t>
      </w:r>
      <w:r w:rsidR="000E0009" w:rsidRPr="00B85AE4">
        <w:rPr>
          <w:sz w:val="20"/>
          <w:szCs w:val="20"/>
        </w:rPr>
        <w:t>,</w:t>
      </w:r>
    </w:p>
    <w:p w:rsidR="00880F58" w:rsidRPr="00B85AE4" w:rsidRDefault="000E0009" w:rsidP="00277BC5">
      <w:pPr>
        <w:numPr>
          <w:ilvl w:val="0"/>
          <w:numId w:val="6"/>
        </w:numPr>
        <w:spacing w:after="0"/>
        <w:jc w:val="both"/>
        <w:rPr>
          <w:sz w:val="20"/>
          <w:szCs w:val="20"/>
        </w:rPr>
      </w:pPr>
      <w:proofErr w:type="spellStart"/>
      <w:r w:rsidRPr="00B85AE4">
        <w:rPr>
          <w:sz w:val="20"/>
          <w:szCs w:val="20"/>
        </w:rPr>
        <w:t>mikro</w:t>
      </w:r>
      <w:proofErr w:type="spellEnd"/>
      <w:r w:rsidRPr="00B85AE4">
        <w:rPr>
          <w:sz w:val="20"/>
          <w:szCs w:val="20"/>
        </w:rPr>
        <w:t xml:space="preserve"> </w:t>
      </w:r>
      <w:r w:rsidR="00944619" w:rsidRPr="00B85AE4">
        <w:rPr>
          <w:sz w:val="20"/>
          <w:szCs w:val="20"/>
        </w:rPr>
        <w:t>kapitalske</w:t>
      </w:r>
      <w:r w:rsidRPr="00B85AE4">
        <w:rPr>
          <w:sz w:val="20"/>
          <w:szCs w:val="20"/>
        </w:rPr>
        <w:t xml:space="preserve"> družbe, ki vrednotijo računovodske postavke po izvirni vrednosti in niso investicijska podjetja ali finančni holdingi</w:t>
      </w:r>
      <w:r w:rsidR="004968DF" w:rsidRPr="00B85AE4">
        <w:rPr>
          <w:sz w:val="20"/>
          <w:szCs w:val="20"/>
        </w:rPr>
        <w:t>, lahko namesto pojasnil k izkazom razkrijejo le dodatne podatke k bilanci stanja</w:t>
      </w:r>
      <w:r w:rsidR="00880F58" w:rsidRPr="00B85AE4">
        <w:rPr>
          <w:sz w:val="20"/>
          <w:szCs w:val="20"/>
        </w:rPr>
        <w:t>.</w:t>
      </w:r>
    </w:p>
    <w:p w:rsidR="0023119D" w:rsidRPr="00B85AE4" w:rsidRDefault="0023119D" w:rsidP="00277BC5">
      <w:pPr>
        <w:spacing w:after="0"/>
        <w:jc w:val="both"/>
        <w:rPr>
          <w:sz w:val="20"/>
          <w:szCs w:val="20"/>
        </w:rPr>
      </w:pPr>
    </w:p>
    <w:p w:rsidR="00B45E0B" w:rsidRPr="00B85AE4" w:rsidRDefault="00EE36E3" w:rsidP="00277BC5">
      <w:pPr>
        <w:spacing w:after="0"/>
        <w:jc w:val="both"/>
        <w:rPr>
          <w:sz w:val="20"/>
          <w:szCs w:val="20"/>
        </w:rPr>
      </w:pPr>
      <w:r w:rsidRPr="00B85AE4">
        <w:rPr>
          <w:sz w:val="20"/>
          <w:szCs w:val="20"/>
        </w:rPr>
        <w:t>Poslovni subjekti lahko l</w:t>
      </w:r>
      <w:r w:rsidR="00B45E0B" w:rsidRPr="00B85AE4">
        <w:rPr>
          <w:sz w:val="20"/>
          <w:szCs w:val="20"/>
        </w:rPr>
        <w:t>etna poročila lahko predloži</w:t>
      </w:r>
      <w:r w:rsidRPr="00B85AE4">
        <w:rPr>
          <w:sz w:val="20"/>
          <w:szCs w:val="20"/>
        </w:rPr>
        <w:t>jo</w:t>
      </w:r>
      <w:r w:rsidR="00B45E0B" w:rsidRPr="00B85AE4">
        <w:rPr>
          <w:sz w:val="20"/>
          <w:szCs w:val="20"/>
        </w:rPr>
        <w:t xml:space="preserve"> izključno </w:t>
      </w:r>
      <w:hyperlink r:id="rId13" w:history="1">
        <w:r w:rsidR="00B45E0B" w:rsidRPr="00B85AE4">
          <w:rPr>
            <w:rStyle w:val="Hiperpovezava"/>
            <w:sz w:val="20"/>
            <w:szCs w:val="20"/>
          </w:rPr>
          <w:t>prek spletnega portala AJPES</w:t>
        </w:r>
      </w:hyperlink>
      <w:r w:rsidR="00B45E0B" w:rsidRPr="00B85AE4">
        <w:rPr>
          <w:sz w:val="20"/>
          <w:szCs w:val="20"/>
        </w:rPr>
        <w:t>. Za predložitev podatkov prek spletne aplikacije se mora</w:t>
      </w:r>
      <w:r w:rsidRPr="00B85AE4">
        <w:rPr>
          <w:sz w:val="20"/>
          <w:szCs w:val="20"/>
        </w:rPr>
        <w:t>jo</w:t>
      </w:r>
      <w:r w:rsidR="00B45E0B" w:rsidRPr="00B85AE4">
        <w:rPr>
          <w:sz w:val="20"/>
          <w:szCs w:val="20"/>
        </w:rPr>
        <w:t xml:space="preserve"> predhodno brezplačno registrirati in </w:t>
      </w:r>
      <w:r w:rsidR="00B45E0B" w:rsidRPr="00B85AE4">
        <w:rPr>
          <w:b/>
          <w:color w:val="FF0000"/>
          <w:sz w:val="20"/>
          <w:szCs w:val="20"/>
        </w:rPr>
        <w:t>vključiti v sistem e-Pooblastil</w:t>
      </w:r>
      <w:r w:rsidR="00B45E0B" w:rsidRPr="00B85AE4">
        <w:rPr>
          <w:sz w:val="20"/>
          <w:szCs w:val="20"/>
        </w:rPr>
        <w:t xml:space="preserve">, ki preverja </w:t>
      </w:r>
      <w:hyperlink r:id="rId14" w:anchor="b200" w:history="1">
        <w:r w:rsidR="00B45E0B" w:rsidRPr="00B85AE4">
          <w:rPr>
            <w:rStyle w:val="Hiperpovezava"/>
            <w:sz w:val="20"/>
            <w:szCs w:val="20"/>
          </w:rPr>
          <w:t>pravice uporabnikov za predložitev</w:t>
        </w:r>
      </w:hyperlink>
      <w:r w:rsidR="00B45E0B" w:rsidRPr="00B85AE4">
        <w:rPr>
          <w:sz w:val="20"/>
          <w:szCs w:val="20"/>
        </w:rPr>
        <w:t xml:space="preserve">. Podatke prek spletne aplikacije lahko predloži </w:t>
      </w:r>
      <w:r w:rsidRPr="00B85AE4">
        <w:rPr>
          <w:sz w:val="20"/>
          <w:szCs w:val="20"/>
        </w:rPr>
        <w:t>tudi zakoniti zastopnik poslovnega subjekta (brez priprave pooblastila),</w:t>
      </w:r>
      <w:r w:rsidR="00B45E0B" w:rsidRPr="00B85AE4">
        <w:rPr>
          <w:sz w:val="20"/>
          <w:szCs w:val="20"/>
        </w:rPr>
        <w:t xml:space="preserve"> če ima kvalificirano digitalno potrdilo vpisano v </w:t>
      </w:r>
      <w:hyperlink r:id="rId15" w:history="1">
        <w:r w:rsidR="00B45E0B" w:rsidRPr="00B85AE4">
          <w:rPr>
            <w:rStyle w:val="Hiperpovezava"/>
            <w:sz w:val="20"/>
            <w:szCs w:val="20"/>
          </w:rPr>
          <w:t>Evidenco digitalnih potrdil (EDP)</w:t>
        </w:r>
      </w:hyperlink>
      <w:r w:rsidR="00B45E0B" w:rsidRPr="00B85AE4">
        <w:rPr>
          <w:sz w:val="20"/>
          <w:szCs w:val="20"/>
        </w:rPr>
        <w:t xml:space="preserve"> ter digitalno potrdilo dodano v </w:t>
      </w:r>
      <w:hyperlink r:id="rId16" w:history="1">
        <w:r w:rsidR="00B45E0B" w:rsidRPr="00B85AE4">
          <w:rPr>
            <w:rStyle w:val="Hiperpovezava"/>
            <w:sz w:val="20"/>
            <w:szCs w:val="20"/>
          </w:rPr>
          <w:t>profilu uporabnika</w:t>
        </w:r>
      </w:hyperlink>
      <w:r w:rsidR="00B45E0B" w:rsidRPr="00B85AE4">
        <w:rPr>
          <w:sz w:val="20"/>
          <w:szCs w:val="20"/>
          <w:u w:val="single"/>
        </w:rPr>
        <w:t>.</w:t>
      </w:r>
      <w:r w:rsidR="00B45E0B" w:rsidRPr="00B85AE4" w:rsidDel="00223335">
        <w:rPr>
          <w:sz w:val="20"/>
          <w:szCs w:val="20"/>
        </w:rPr>
        <w:t xml:space="preserve"> </w:t>
      </w:r>
    </w:p>
    <w:p w:rsidR="00ED2504" w:rsidRPr="00B85AE4" w:rsidRDefault="00ED2504" w:rsidP="00277BC5">
      <w:pPr>
        <w:spacing w:after="0" w:line="240" w:lineRule="auto"/>
        <w:jc w:val="both"/>
        <w:rPr>
          <w:b/>
          <w:sz w:val="20"/>
          <w:szCs w:val="20"/>
        </w:rPr>
      </w:pPr>
    </w:p>
    <w:p w:rsidR="00277BC5" w:rsidRPr="00B85AE4" w:rsidRDefault="00ED2504" w:rsidP="00277BC5">
      <w:pPr>
        <w:spacing w:after="0"/>
        <w:jc w:val="both"/>
        <w:rPr>
          <w:sz w:val="20"/>
          <w:szCs w:val="20"/>
        </w:rPr>
      </w:pPr>
      <w:r w:rsidRPr="00B85AE4">
        <w:rPr>
          <w:b/>
          <w:color w:val="0070C0"/>
          <w:sz w:val="20"/>
          <w:szCs w:val="20"/>
        </w:rPr>
        <w:t>Roki za predložitev letnih poročil so odvisni od trajanja poslovnega leta, vrste letnega poročila in vrste poslovnega subjekta.</w:t>
      </w:r>
      <w:r w:rsidR="00415ADE" w:rsidRPr="00B85AE4">
        <w:rPr>
          <w:sz w:val="20"/>
          <w:szCs w:val="20"/>
        </w:rPr>
        <w:t xml:space="preserve"> </w:t>
      </w:r>
      <w:r w:rsidR="005A1496">
        <w:rPr>
          <w:sz w:val="20"/>
          <w:szCs w:val="20"/>
        </w:rPr>
        <w:t xml:space="preserve">Najkasneje do </w:t>
      </w:r>
      <w:r w:rsidR="00277BC5" w:rsidRPr="00B85AE4">
        <w:rPr>
          <w:b/>
          <w:color w:val="FF0000"/>
          <w:sz w:val="20"/>
          <w:szCs w:val="20"/>
        </w:rPr>
        <w:t xml:space="preserve">31. </w:t>
      </w:r>
      <w:r w:rsidR="005A1496">
        <w:rPr>
          <w:b/>
          <w:color w:val="FF0000"/>
          <w:sz w:val="20"/>
          <w:szCs w:val="20"/>
        </w:rPr>
        <w:t>m</w:t>
      </w:r>
      <w:r w:rsidR="00277BC5" w:rsidRPr="00B85AE4">
        <w:rPr>
          <w:b/>
          <w:color w:val="FF0000"/>
          <w:sz w:val="20"/>
          <w:szCs w:val="20"/>
        </w:rPr>
        <w:t>ar</w:t>
      </w:r>
      <w:r w:rsidR="005A1496">
        <w:rPr>
          <w:b/>
          <w:color w:val="FF0000"/>
          <w:sz w:val="20"/>
          <w:szCs w:val="20"/>
        </w:rPr>
        <w:t xml:space="preserve">ca </w:t>
      </w:r>
      <w:r w:rsidR="00277BC5" w:rsidRPr="00B85AE4">
        <w:rPr>
          <w:b/>
          <w:color w:val="FF0000"/>
          <w:sz w:val="20"/>
          <w:szCs w:val="20"/>
        </w:rPr>
        <w:t xml:space="preserve"> 2017</w:t>
      </w:r>
      <w:r w:rsidR="00277BC5" w:rsidRPr="00B85AE4">
        <w:rPr>
          <w:color w:val="FF0000"/>
          <w:sz w:val="20"/>
          <w:szCs w:val="20"/>
        </w:rPr>
        <w:t xml:space="preserve"> </w:t>
      </w:r>
      <w:r w:rsidR="00277BC5" w:rsidRPr="00B85AE4">
        <w:rPr>
          <w:sz w:val="20"/>
          <w:szCs w:val="20"/>
        </w:rPr>
        <w:t>morajo letno poročilo za leto 2016 za namen javne objave in državne statistike predložiti gospodarske družbe, ki imajo poslovno leto enako koledarskemu in niso zavezane k reviziji ali preiskavi računovodskih izkazov, samostojni podjetniki in društva, nezavezana k reviziji.</w:t>
      </w:r>
      <w:r w:rsidR="005A1496">
        <w:rPr>
          <w:sz w:val="20"/>
          <w:szCs w:val="20"/>
        </w:rPr>
        <w:t xml:space="preserve"> </w:t>
      </w:r>
      <w:r w:rsidR="00A164D3">
        <w:rPr>
          <w:sz w:val="20"/>
          <w:szCs w:val="20"/>
        </w:rPr>
        <w:t xml:space="preserve">Gospodarske družbe, ki imajo poslovno leto enako koledarskemu in so  zavezane k reviziji ali k preiskavi računovodskih izkazov, predložijo letno poročilo za leto 2016 za namen javne objave, najkasneje do </w:t>
      </w:r>
      <w:r w:rsidR="00A164D3" w:rsidRPr="00F92AFF">
        <w:rPr>
          <w:b/>
          <w:color w:val="FF0000"/>
          <w:sz w:val="20"/>
          <w:szCs w:val="20"/>
        </w:rPr>
        <w:t>31. avgusta 2017</w:t>
      </w:r>
      <w:r w:rsidR="00A164D3">
        <w:rPr>
          <w:sz w:val="20"/>
          <w:szCs w:val="20"/>
        </w:rPr>
        <w:t xml:space="preserve">. Najkasneje do </w:t>
      </w:r>
      <w:r w:rsidR="00F92AFF">
        <w:rPr>
          <w:sz w:val="20"/>
          <w:szCs w:val="20"/>
        </w:rPr>
        <w:t>konca avgusta 2017</w:t>
      </w:r>
      <w:r w:rsidR="00A164D3">
        <w:rPr>
          <w:sz w:val="20"/>
          <w:szCs w:val="20"/>
        </w:rPr>
        <w:t xml:space="preserve"> </w:t>
      </w:r>
      <w:r w:rsidR="00F92AFF">
        <w:rPr>
          <w:sz w:val="20"/>
          <w:szCs w:val="20"/>
        </w:rPr>
        <w:t>pa morajo predložiti</w:t>
      </w:r>
      <w:r w:rsidR="00A164D3">
        <w:rPr>
          <w:sz w:val="20"/>
          <w:szCs w:val="20"/>
        </w:rPr>
        <w:t xml:space="preserve"> letno poročilo za namen javne objave tudi društva</w:t>
      </w:r>
      <w:r w:rsidR="00F92AFF">
        <w:rPr>
          <w:sz w:val="20"/>
          <w:szCs w:val="20"/>
        </w:rPr>
        <w:t>,</w:t>
      </w:r>
      <w:bookmarkStart w:id="0" w:name="_GoBack"/>
      <w:bookmarkEnd w:id="0"/>
      <w:r w:rsidR="00A164D3">
        <w:rPr>
          <w:sz w:val="20"/>
          <w:szCs w:val="20"/>
        </w:rPr>
        <w:t xml:space="preserve"> zavezana k revidiranju računovod</w:t>
      </w:r>
      <w:r w:rsidR="00F92AFF">
        <w:rPr>
          <w:sz w:val="20"/>
          <w:szCs w:val="20"/>
        </w:rPr>
        <w:t xml:space="preserve">skih izkazov. </w:t>
      </w:r>
    </w:p>
    <w:p w:rsidR="00415ADE" w:rsidRPr="00B85AE4" w:rsidRDefault="00415ADE" w:rsidP="00277BC5">
      <w:pPr>
        <w:spacing w:after="0"/>
        <w:jc w:val="both"/>
        <w:rPr>
          <w:sz w:val="20"/>
          <w:szCs w:val="20"/>
        </w:rPr>
      </w:pPr>
    </w:p>
    <w:p w:rsidR="00415ADE" w:rsidRPr="00B85AE4" w:rsidRDefault="00415ADE" w:rsidP="00415ADE">
      <w:pPr>
        <w:spacing w:after="0"/>
        <w:jc w:val="both"/>
        <w:rPr>
          <w:sz w:val="20"/>
          <w:szCs w:val="20"/>
        </w:rPr>
      </w:pPr>
      <w:r w:rsidRPr="00B85AE4">
        <w:rPr>
          <w:sz w:val="20"/>
          <w:szCs w:val="20"/>
        </w:rPr>
        <w:t xml:space="preserve">Zoper poslovne subjekte, ki ne predložijo letnega poročila, AJPES uvede postopek o prekršku. Globe zaradi </w:t>
      </w:r>
      <w:proofErr w:type="spellStart"/>
      <w:r w:rsidRPr="00B85AE4">
        <w:rPr>
          <w:sz w:val="20"/>
          <w:szCs w:val="20"/>
        </w:rPr>
        <w:t>nepredložitve</w:t>
      </w:r>
      <w:proofErr w:type="spellEnd"/>
      <w:r w:rsidRPr="00B85AE4">
        <w:rPr>
          <w:sz w:val="20"/>
          <w:szCs w:val="20"/>
        </w:rPr>
        <w:t xml:space="preserve"> letnega poročila so odvisne od velikosti poslovnega subjekta. Za gospodarske družbe se globe gibljejo od 300 do 10.000 evrov za vsak prekršek posebej (posebej zaradi </w:t>
      </w:r>
      <w:proofErr w:type="spellStart"/>
      <w:r w:rsidRPr="00B85AE4">
        <w:rPr>
          <w:sz w:val="20"/>
          <w:szCs w:val="20"/>
        </w:rPr>
        <w:t>nepredložitve</w:t>
      </w:r>
      <w:proofErr w:type="spellEnd"/>
      <w:r w:rsidRPr="00B85AE4">
        <w:rPr>
          <w:sz w:val="20"/>
          <w:szCs w:val="20"/>
        </w:rPr>
        <w:t xml:space="preserve"> letnega poročila za državno statistiko in posebej za javno objavo), za odgovorne osebe od 300 do 4.000.  Samostojnim podjetnikom grozi globa od 200 do 5.000 evrov, društvom pa globa v višini 420 evrov in 125 evrov za odgovorno osebo. </w:t>
      </w:r>
    </w:p>
    <w:p w:rsidR="003A4202" w:rsidRPr="00B85AE4" w:rsidRDefault="003A4202" w:rsidP="00ED2504">
      <w:pPr>
        <w:spacing w:after="0"/>
        <w:jc w:val="both"/>
        <w:rPr>
          <w:b/>
          <w:color w:val="0070C0"/>
          <w:sz w:val="20"/>
          <w:szCs w:val="20"/>
        </w:rPr>
      </w:pPr>
    </w:p>
    <w:p w:rsidR="00ED2504" w:rsidRPr="00B85AE4" w:rsidRDefault="00ED2504" w:rsidP="00ED2504">
      <w:pPr>
        <w:spacing w:after="0"/>
        <w:jc w:val="both"/>
        <w:rPr>
          <w:b/>
          <w:sz w:val="20"/>
          <w:szCs w:val="20"/>
        </w:rPr>
      </w:pPr>
      <w:r w:rsidRPr="00B85AE4">
        <w:rPr>
          <w:b/>
          <w:color w:val="0070C0"/>
          <w:sz w:val="20"/>
          <w:szCs w:val="20"/>
        </w:rPr>
        <w:t xml:space="preserve">Aplikacija za predložitev letnih poročil za leto 2016 je na voljo na </w:t>
      </w:r>
      <w:r w:rsidR="003423E4" w:rsidRPr="00B85AE4">
        <w:rPr>
          <w:b/>
          <w:color w:val="0070C0"/>
          <w:sz w:val="20"/>
          <w:szCs w:val="20"/>
        </w:rPr>
        <w:t xml:space="preserve">prenovljeni </w:t>
      </w:r>
      <w:r w:rsidRPr="00B85AE4">
        <w:rPr>
          <w:b/>
          <w:color w:val="0070C0"/>
          <w:sz w:val="20"/>
          <w:szCs w:val="20"/>
        </w:rPr>
        <w:t>spletni strani AJPES</w:t>
      </w:r>
      <w:r w:rsidRPr="00B85AE4">
        <w:rPr>
          <w:b/>
          <w:sz w:val="20"/>
          <w:szCs w:val="20"/>
        </w:rPr>
        <w:t xml:space="preserve"> </w:t>
      </w:r>
      <w:hyperlink r:id="rId17" w:history="1">
        <w:r w:rsidR="00142D9B" w:rsidRPr="00B85AE4">
          <w:rPr>
            <w:rStyle w:val="Hiperpovezava"/>
            <w:b/>
            <w:sz w:val="20"/>
            <w:szCs w:val="20"/>
          </w:rPr>
          <w:t>http://www.ajpes.si/lp2016/</w:t>
        </w:r>
      </w:hyperlink>
      <w:r w:rsidR="003A4202" w:rsidRPr="00B85AE4">
        <w:rPr>
          <w:rStyle w:val="Hiperpovezava"/>
          <w:b/>
          <w:sz w:val="20"/>
          <w:szCs w:val="20"/>
        </w:rPr>
        <w:t>.</w:t>
      </w:r>
      <w:r w:rsidR="00142D9B" w:rsidRPr="00B85AE4">
        <w:rPr>
          <w:b/>
          <w:sz w:val="20"/>
          <w:szCs w:val="20"/>
        </w:rPr>
        <w:t xml:space="preserve"> </w:t>
      </w:r>
    </w:p>
    <w:p w:rsidR="00B45E0B" w:rsidRPr="00B85AE4" w:rsidRDefault="00ED2504" w:rsidP="00B45E0B">
      <w:pPr>
        <w:spacing w:before="120" w:after="120"/>
        <w:rPr>
          <w:sz w:val="20"/>
          <w:szCs w:val="20"/>
        </w:rPr>
      </w:pPr>
      <w:r w:rsidRPr="00B85AE4">
        <w:rPr>
          <w:sz w:val="20"/>
          <w:szCs w:val="20"/>
        </w:rPr>
        <w:t xml:space="preserve">Podrobnejše informacije o predložitvi </w:t>
      </w:r>
      <w:r w:rsidR="00EE36E3" w:rsidRPr="00B85AE4">
        <w:rPr>
          <w:sz w:val="20"/>
          <w:szCs w:val="20"/>
        </w:rPr>
        <w:t xml:space="preserve">letnih poročil </w:t>
      </w:r>
      <w:r w:rsidRPr="00B85AE4">
        <w:rPr>
          <w:sz w:val="20"/>
          <w:szCs w:val="20"/>
        </w:rPr>
        <w:t xml:space="preserve">so na voljo v </w:t>
      </w:r>
      <w:r w:rsidRPr="00B85AE4">
        <w:rPr>
          <w:b/>
          <w:color w:val="0070C0"/>
          <w:sz w:val="20"/>
          <w:szCs w:val="20"/>
        </w:rPr>
        <w:t xml:space="preserve">AJPES Izpostavi </w:t>
      </w:r>
      <w:r w:rsidR="003423E4" w:rsidRPr="00B85AE4">
        <w:rPr>
          <w:b/>
          <w:color w:val="0070C0"/>
          <w:sz w:val="20"/>
          <w:szCs w:val="20"/>
        </w:rPr>
        <w:t>Kranj</w:t>
      </w:r>
      <w:r w:rsidRPr="00B85AE4">
        <w:rPr>
          <w:b/>
          <w:color w:val="0070C0"/>
          <w:sz w:val="20"/>
          <w:szCs w:val="20"/>
        </w:rPr>
        <w:t xml:space="preserve">, </w:t>
      </w:r>
      <w:r w:rsidR="003423E4" w:rsidRPr="00B85AE4">
        <w:rPr>
          <w:b/>
          <w:color w:val="0070C0"/>
          <w:sz w:val="20"/>
          <w:szCs w:val="20"/>
        </w:rPr>
        <w:t>Slovenski trg 2, 4000 KRANJ</w:t>
      </w:r>
      <w:r w:rsidRPr="00B85AE4">
        <w:rPr>
          <w:b/>
          <w:color w:val="0070C0"/>
          <w:sz w:val="20"/>
          <w:szCs w:val="20"/>
        </w:rPr>
        <w:t xml:space="preserve">, telefon </w:t>
      </w:r>
      <w:r w:rsidR="003423E4" w:rsidRPr="00B85AE4">
        <w:rPr>
          <w:b/>
          <w:color w:val="0070C0"/>
          <w:sz w:val="20"/>
          <w:szCs w:val="20"/>
        </w:rPr>
        <w:t>04 281 0940</w:t>
      </w:r>
      <w:r w:rsidRPr="00B85AE4">
        <w:rPr>
          <w:b/>
          <w:sz w:val="20"/>
          <w:szCs w:val="20"/>
        </w:rPr>
        <w:t xml:space="preserve">, </w:t>
      </w:r>
      <w:hyperlink r:id="rId18" w:history="1">
        <w:r w:rsidR="003423E4" w:rsidRPr="00B85AE4">
          <w:rPr>
            <w:rStyle w:val="Hiperpovezava"/>
            <w:b/>
            <w:sz w:val="20"/>
            <w:szCs w:val="20"/>
          </w:rPr>
          <w:t>info.kr@ajpes.si</w:t>
        </w:r>
      </w:hyperlink>
      <w:r w:rsidRPr="00B85AE4">
        <w:rPr>
          <w:sz w:val="20"/>
          <w:szCs w:val="20"/>
        </w:rPr>
        <w:t xml:space="preserve"> ali na spletni strani </w:t>
      </w:r>
      <w:hyperlink r:id="rId19" w:history="1">
        <w:r w:rsidRPr="00B85AE4">
          <w:rPr>
            <w:rStyle w:val="Hiperpovezava"/>
            <w:b/>
            <w:sz w:val="20"/>
            <w:szCs w:val="20"/>
          </w:rPr>
          <w:t>Oddajam -&gt; Letna in druga poročila</w:t>
        </w:r>
      </w:hyperlink>
      <w:r w:rsidR="003A4202" w:rsidRPr="00B85AE4">
        <w:rPr>
          <w:rStyle w:val="Hiperpovezava"/>
          <w:b/>
          <w:sz w:val="20"/>
          <w:szCs w:val="20"/>
        </w:rPr>
        <w:t>.</w:t>
      </w:r>
    </w:p>
    <w:sectPr w:rsidR="00B45E0B" w:rsidRPr="00B85AE4" w:rsidSect="004426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84A"/>
    <w:multiLevelType w:val="hybridMultilevel"/>
    <w:tmpl w:val="5E2E6092"/>
    <w:lvl w:ilvl="0" w:tplc="50BCCD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57634"/>
    <w:multiLevelType w:val="hybridMultilevel"/>
    <w:tmpl w:val="E70C6AB8"/>
    <w:lvl w:ilvl="0" w:tplc="EF6A3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91F65"/>
    <w:multiLevelType w:val="hybridMultilevel"/>
    <w:tmpl w:val="A2760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951F4"/>
    <w:multiLevelType w:val="hybridMultilevel"/>
    <w:tmpl w:val="3E688C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A498E"/>
    <w:multiLevelType w:val="multilevel"/>
    <w:tmpl w:val="269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D292A"/>
    <w:multiLevelType w:val="multilevel"/>
    <w:tmpl w:val="E380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C48F5"/>
    <w:multiLevelType w:val="hybridMultilevel"/>
    <w:tmpl w:val="C1F0C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169B9"/>
    <w:multiLevelType w:val="multilevel"/>
    <w:tmpl w:val="34A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A6F9C"/>
    <w:multiLevelType w:val="hybridMultilevel"/>
    <w:tmpl w:val="05F844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DD"/>
    <w:rsid w:val="000608DD"/>
    <w:rsid w:val="0006384A"/>
    <w:rsid w:val="000E0009"/>
    <w:rsid w:val="000E761C"/>
    <w:rsid w:val="00105254"/>
    <w:rsid w:val="00142D9B"/>
    <w:rsid w:val="001618CF"/>
    <w:rsid w:val="00174472"/>
    <w:rsid w:val="001E3F01"/>
    <w:rsid w:val="0020673C"/>
    <w:rsid w:val="00211633"/>
    <w:rsid w:val="0021589F"/>
    <w:rsid w:val="0023119D"/>
    <w:rsid w:val="0024356C"/>
    <w:rsid w:val="00277BC5"/>
    <w:rsid w:val="00287606"/>
    <w:rsid w:val="002919B5"/>
    <w:rsid w:val="002A6E08"/>
    <w:rsid w:val="002F16DE"/>
    <w:rsid w:val="003423E4"/>
    <w:rsid w:val="003A4202"/>
    <w:rsid w:val="003B2474"/>
    <w:rsid w:val="003B4DC1"/>
    <w:rsid w:val="003E71E5"/>
    <w:rsid w:val="00400CED"/>
    <w:rsid w:val="00401C72"/>
    <w:rsid w:val="00403039"/>
    <w:rsid w:val="00415ADE"/>
    <w:rsid w:val="004216FF"/>
    <w:rsid w:val="00442601"/>
    <w:rsid w:val="004472AD"/>
    <w:rsid w:val="004701F3"/>
    <w:rsid w:val="004968DF"/>
    <w:rsid w:val="004B3BA1"/>
    <w:rsid w:val="004E7284"/>
    <w:rsid w:val="004F30D9"/>
    <w:rsid w:val="004F78A8"/>
    <w:rsid w:val="005A1496"/>
    <w:rsid w:val="005F7483"/>
    <w:rsid w:val="006079F2"/>
    <w:rsid w:val="006226A4"/>
    <w:rsid w:val="00676C4A"/>
    <w:rsid w:val="00677F7E"/>
    <w:rsid w:val="006C6574"/>
    <w:rsid w:val="006C6D59"/>
    <w:rsid w:val="006D65D4"/>
    <w:rsid w:val="00737810"/>
    <w:rsid w:val="00754CAD"/>
    <w:rsid w:val="00757A05"/>
    <w:rsid w:val="00760775"/>
    <w:rsid w:val="0078438A"/>
    <w:rsid w:val="007B2091"/>
    <w:rsid w:val="007C5A0C"/>
    <w:rsid w:val="007F674F"/>
    <w:rsid w:val="00820BD2"/>
    <w:rsid w:val="00877432"/>
    <w:rsid w:val="00880F58"/>
    <w:rsid w:val="008A14A4"/>
    <w:rsid w:val="008C1824"/>
    <w:rsid w:val="008D247F"/>
    <w:rsid w:val="008E5354"/>
    <w:rsid w:val="00917DFC"/>
    <w:rsid w:val="00933585"/>
    <w:rsid w:val="00933B3C"/>
    <w:rsid w:val="00940975"/>
    <w:rsid w:val="00944619"/>
    <w:rsid w:val="00947EFA"/>
    <w:rsid w:val="009C3E7F"/>
    <w:rsid w:val="009C4F29"/>
    <w:rsid w:val="00A164D3"/>
    <w:rsid w:val="00A32EF3"/>
    <w:rsid w:val="00A95324"/>
    <w:rsid w:val="00AC590E"/>
    <w:rsid w:val="00B134D0"/>
    <w:rsid w:val="00B45E0B"/>
    <w:rsid w:val="00B501F7"/>
    <w:rsid w:val="00B85AE4"/>
    <w:rsid w:val="00C444C0"/>
    <w:rsid w:val="00C64610"/>
    <w:rsid w:val="00CD0181"/>
    <w:rsid w:val="00D04DC6"/>
    <w:rsid w:val="00D448C1"/>
    <w:rsid w:val="00D54F2E"/>
    <w:rsid w:val="00DA0BF6"/>
    <w:rsid w:val="00DE4B04"/>
    <w:rsid w:val="00E30732"/>
    <w:rsid w:val="00E92300"/>
    <w:rsid w:val="00ED2504"/>
    <w:rsid w:val="00EE36E3"/>
    <w:rsid w:val="00F10E36"/>
    <w:rsid w:val="00F216B7"/>
    <w:rsid w:val="00F315B6"/>
    <w:rsid w:val="00F56DF6"/>
    <w:rsid w:val="00F86F14"/>
    <w:rsid w:val="00F92AFF"/>
    <w:rsid w:val="00F94A7C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08D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C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18C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7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D2504"/>
    <w:rPr>
      <w:color w:val="800080" w:themeColor="followedHyperlink"/>
      <w:u w:val="single"/>
    </w:rPr>
  </w:style>
  <w:style w:type="paragraph" w:customStyle="1" w:styleId="Default">
    <w:name w:val="Default"/>
    <w:rsid w:val="00415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08D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C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618C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7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D2504"/>
    <w:rPr>
      <w:color w:val="800080" w:themeColor="followedHyperlink"/>
      <w:u w:val="single"/>
    </w:rPr>
  </w:style>
  <w:style w:type="paragraph" w:customStyle="1" w:styleId="Default">
    <w:name w:val="Default"/>
    <w:rsid w:val="00415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ZAKO4291" TargetMode="External"/><Relationship Id="rId13" Type="http://schemas.openxmlformats.org/officeDocument/2006/relationships/hyperlink" Target="http://www.ajpes.si/Letna_porocila/Predlozitev/Druzbe_in_zadruge/Splosno" TargetMode="External"/><Relationship Id="rId18" Type="http://schemas.openxmlformats.org/officeDocument/2006/relationships/hyperlink" Target="mailto:info.kr@ajpes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ur-lex.europa.eu/legal-content/SL/TXT/?uri=CELEX%3A32013L0034" TargetMode="External"/><Relationship Id="rId12" Type="http://schemas.openxmlformats.org/officeDocument/2006/relationships/hyperlink" Target="http://www.uradni-list.si/1/index?edition=201686" TargetMode="External"/><Relationship Id="rId17" Type="http://schemas.openxmlformats.org/officeDocument/2006/relationships/hyperlink" Target="http://www.ajpes.si/lp20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jpes.si/pooblastila/po_cert.a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srs.si/Pis.web/pregledPredpisa?id=NAVO11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jpes.si/Registri/Drugi_registri/Evidenca_digitalnih_potrdil" TargetMode="External"/><Relationship Id="rId10" Type="http://schemas.openxmlformats.org/officeDocument/2006/relationships/hyperlink" Target="http://www.pisrs.si/Pis.web/pregledPredpisa?id=DRUG4210" TargetMode="External"/><Relationship Id="rId19" Type="http://schemas.openxmlformats.org/officeDocument/2006/relationships/hyperlink" Target="http://www.ajpes.si/Letna_porocila/Predlozite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srs.si/Pis.web/pregledPredpisa?id=DRUG4192" TargetMode="External"/><Relationship Id="rId14" Type="http://schemas.openxmlformats.org/officeDocument/2006/relationships/hyperlink" Target="http://www.ajpes.si/Letna_porocila/Predlozite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509C-6716-4211-9049-E4D4E26A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AJPES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Murnc</dc:creator>
  <cp:lastModifiedBy>Urška Rihtaršič</cp:lastModifiedBy>
  <cp:revision>15</cp:revision>
  <cp:lastPrinted>2016-02-17T09:20:00Z</cp:lastPrinted>
  <dcterms:created xsi:type="dcterms:W3CDTF">2017-03-10T12:03:00Z</dcterms:created>
  <dcterms:modified xsi:type="dcterms:W3CDTF">2017-03-13T08:34:00Z</dcterms:modified>
</cp:coreProperties>
</file>