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3C96" w14:textId="77777777" w:rsidR="0017551B" w:rsidRPr="00CF514B" w:rsidRDefault="0017551B" w:rsidP="0017551B">
      <w:pPr>
        <w:pStyle w:val="Heading1"/>
        <w:numPr>
          <w:ilvl w:val="0"/>
          <w:numId w:val="0"/>
        </w:numPr>
        <w:rPr>
          <w:rFonts w:cstheme="minorHAnsi"/>
          <w:lang w:val="en-GB"/>
        </w:rPr>
      </w:pPr>
      <w:r w:rsidRPr="00CF514B">
        <w:rPr>
          <w:rFonts w:cstheme="minorHAnsi"/>
          <w:lang w:val="en-GB"/>
        </w:rPr>
        <w:t>POVZETEK ZA JAVNOST</w:t>
      </w:r>
    </w:p>
    <w:p w14:paraId="690C348F" w14:textId="667F6D98" w:rsidR="0017551B" w:rsidRPr="00CF514B" w:rsidRDefault="00BB6A10" w:rsidP="7E111EB3">
      <w:pPr>
        <w:pStyle w:val="Title"/>
        <w:spacing w:before="240"/>
        <w:ind w:left="0" w:right="117"/>
        <w:rPr>
          <w:rFonts w:asciiTheme="minorHAnsi" w:eastAsiaTheme="majorEastAsia" w:hAnsiTheme="minorHAnsi" w:cstheme="minorBidi"/>
          <w:caps/>
          <w:sz w:val="28"/>
          <w:szCs w:val="28"/>
          <w:lang w:val="en-GB" w:eastAsia="en-GB"/>
        </w:rPr>
      </w:pPr>
      <w:r w:rsidRPr="7E111EB3">
        <w:rPr>
          <w:rFonts w:asciiTheme="minorHAnsi" w:eastAsiaTheme="majorEastAsia" w:hAnsiTheme="minorHAnsi" w:cstheme="minorBidi"/>
          <w:sz w:val="28"/>
          <w:szCs w:val="28"/>
          <w:lang w:val="en-GB" w:eastAsia="en-GB"/>
        </w:rPr>
        <w:t>Predlog e</w:t>
      </w:r>
      <w:r w:rsidR="00A152AA" w:rsidRPr="7E111EB3">
        <w:rPr>
          <w:rFonts w:asciiTheme="minorHAnsi" w:eastAsiaTheme="majorEastAsia" w:hAnsiTheme="minorHAnsi" w:cstheme="minorBidi"/>
          <w:sz w:val="28"/>
          <w:szCs w:val="28"/>
          <w:lang w:val="en-GB" w:eastAsia="en-GB"/>
        </w:rPr>
        <w:t>videnc</w:t>
      </w:r>
      <w:r w:rsidRPr="7E111EB3">
        <w:rPr>
          <w:rFonts w:asciiTheme="minorHAnsi" w:eastAsiaTheme="majorEastAsia" w:hAnsiTheme="minorHAnsi" w:cstheme="minorBidi"/>
          <w:sz w:val="28"/>
          <w:szCs w:val="28"/>
          <w:lang w:val="en-GB" w:eastAsia="en-GB"/>
        </w:rPr>
        <w:t>e</w:t>
      </w:r>
      <w:r w:rsidR="00A152AA" w:rsidRPr="7E111EB3">
        <w:rPr>
          <w:rFonts w:asciiTheme="minorHAnsi" w:eastAsiaTheme="majorEastAsia" w:hAnsiTheme="minorHAnsi" w:cstheme="minorBidi"/>
          <w:sz w:val="28"/>
          <w:szCs w:val="28"/>
          <w:lang w:val="en-GB" w:eastAsia="en-GB"/>
        </w:rPr>
        <w:t xml:space="preserve"> stavbnih zemljišč</w:t>
      </w:r>
      <w:r w:rsidR="0017551B" w:rsidRPr="7E111EB3">
        <w:rPr>
          <w:rFonts w:asciiTheme="minorHAnsi" w:eastAsiaTheme="majorEastAsia" w:hAnsiTheme="minorHAnsi" w:cstheme="minorBidi"/>
          <w:caps/>
          <w:sz w:val="28"/>
          <w:szCs w:val="28"/>
          <w:lang w:val="en-GB" w:eastAsia="en-GB"/>
        </w:rPr>
        <w:t xml:space="preserve"> </w:t>
      </w:r>
      <w:r w:rsidR="0017551B" w:rsidRPr="7E111EB3">
        <w:rPr>
          <w:rFonts w:asciiTheme="minorHAnsi" w:eastAsiaTheme="majorEastAsia" w:hAnsiTheme="minorHAnsi" w:cstheme="minorBidi"/>
          <w:sz w:val="28"/>
          <w:szCs w:val="28"/>
          <w:lang w:val="en-GB" w:eastAsia="en-GB"/>
        </w:rPr>
        <w:t>Občine</w:t>
      </w:r>
      <w:r w:rsidR="0017551B" w:rsidRPr="7E111EB3">
        <w:rPr>
          <w:rFonts w:asciiTheme="minorHAnsi" w:eastAsiaTheme="majorEastAsia" w:hAnsiTheme="minorHAnsi" w:cstheme="minorBidi"/>
          <w:caps/>
          <w:sz w:val="28"/>
          <w:szCs w:val="28"/>
          <w:lang w:val="en-GB" w:eastAsia="en-GB"/>
        </w:rPr>
        <w:t xml:space="preserve"> </w:t>
      </w:r>
      <w:r w:rsidR="00A12E9A">
        <w:rPr>
          <w:rFonts w:asciiTheme="minorHAnsi" w:eastAsiaTheme="majorEastAsia" w:hAnsiTheme="minorHAnsi" w:cstheme="minorBidi"/>
          <w:sz w:val="28"/>
          <w:szCs w:val="28"/>
          <w:lang w:val="en-GB" w:eastAsia="en-GB"/>
        </w:rPr>
        <w:t>Logatec</w:t>
      </w:r>
    </w:p>
    <w:p w14:paraId="14494BA3" w14:textId="77777777" w:rsidR="0017551B" w:rsidRPr="00CF514B" w:rsidRDefault="0017551B" w:rsidP="0017551B">
      <w:pPr>
        <w:rPr>
          <w:rFonts w:asciiTheme="minorHAnsi" w:hAnsiTheme="minorHAnsi" w:cstheme="minorHAnsi"/>
          <w:lang w:val="en-GB"/>
        </w:rPr>
      </w:pPr>
    </w:p>
    <w:p w14:paraId="3E9A304A" w14:textId="3898B02D" w:rsidR="00682B61" w:rsidRDefault="000C631E" w:rsidP="7E111EB3">
      <w:pPr>
        <w:jc w:val="both"/>
        <w:rPr>
          <w:rFonts w:asciiTheme="minorHAnsi" w:hAnsiTheme="minorHAnsi" w:cstheme="minorBidi"/>
          <w:sz w:val="20"/>
          <w:szCs w:val="20"/>
        </w:rPr>
      </w:pPr>
      <w:r w:rsidRPr="7E111EB3">
        <w:rPr>
          <w:rFonts w:asciiTheme="minorHAnsi" w:hAnsiTheme="minorHAnsi" w:cstheme="minorBidi"/>
          <w:sz w:val="20"/>
          <w:szCs w:val="20"/>
        </w:rPr>
        <w:t xml:space="preserve">Občina </w:t>
      </w:r>
      <w:r w:rsidR="00A12E9A">
        <w:rPr>
          <w:rFonts w:asciiTheme="minorHAnsi" w:hAnsiTheme="minorHAnsi" w:cstheme="minorBidi"/>
          <w:sz w:val="20"/>
          <w:szCs w:val="20"/>
        </w:rPr>
        <w:t>Logatec</w:t>
      </w:r>
      <w:r w:rsidR="56DFFB83" w:rsidRPr="7E111EB3">
        <w:rPr>
          <w:rFonts w:asciiTheme="minorHAnsi" w:hAnsiTheme="minorHAnsi" w:cstheme="minorBidi"/>
          <w:sz w:val="20"/>
          <w:szCs w:val="20"/>
        </w:rPr>
        <w:t xml:space="preserve"> </w:t>
      </w:r>
      <w:r w:rsidRPr="7E111EB3">
        <w:rPr>
          <w:rFonts w:asciiTheme="minorHAnsi" w:hAnsiTheme="minorHAnsi" w:cstheme="minorBidi"/>
          <w:sz w:val="20"/>
          <w:szCs w:val="20"/>
        </w:rPr>
        <w:t>je v let</w:t>
      </w:r>
      <w:r w:rsidR="5A9FB0FD" w:rsidRPr="7E111EB3">
        <w:rPr>
          <w:rFonts w:asciiTheme="minorHAnsi" w:hAnsiTheme="minorHAnsi" w:cstheme="minorBidi"/>
          <w:sz w:val="20"/>
          <w:szCs w:val="20"/>
        </w:rPr>
        <w:t>u</w:t>
      </w:r>
      <w:r w:rsidRPr="7E111EB3">
        <w:rPr>
          <w:rFonts w:asciiTheme="minorHAnsi" w:hAnsiTheme="minorHAnsi" w:cstheme="minorBidi"/>
          <w:sz w:val="20"/>
          <w:szCs w:val="20"/>
        </w:rPr>
        <w:t xml:space="preserve"> 2025 pričela z vzpostavitvijo </w:t>
      </w:r>
      <w:r w:rsidRPr="7E111EB3">
        <w:rPr>
          <w:rFonts w:asciiTheme="minorHAnsi" w:hAnsiTheme="minorHAnsi" w:cstheme="minorBidi"/>
          <w:b/>
          <w:bCs/>
          <w:sz w:val="20"/>
          <w:szCs w:val="20"/>
        </w:rPr>
        <w:t>evidence stavbnih zemljišč</w:t>
      </w:r>
      <w:r w:rsidRPr="7E111EB3">
        <w:rPr>
          <w:rFonts w:asciiTheme="minorHAnsi" w:hAnsiTheme="minorHAnsi" w:cstheme="minorBidi"/>
          <w:sz w:val="20"/>
          <w:szCs w:val="20"/>
        </w:rPr>
        <w:t xml:space="preserve">, ki je pomemben korak k bolj preglednemu, urejenemu in trajnostnemu prostorskemu razvoju in bo Občini </w:t>
      </w:r>
      <w:r w:rsidR="00A12E9A">
        <w:rPr>
          <w:rFonts w:asciiTheme="minorHAnsi" w:hAnsiTheme="minorHAnsi" w:cstheme="minorBidi"/>
          <w:sz w:val="20"/>
          <w:szCs w:val="20"/>
        </w:rPr>
        <w:t>Logatec</w:t>
      </w:r>
      <w:r w:rsidR="00634998" w:rsidRPr="7E111EB3">
        <w:rPr>
          <w:rFonts w:asciiTheme="minorHAnsi" w:hAnsiTheme="minorHAnsi" w:cstheme="minorBidi"/>
          <w:sz w:val="20"/>
          <w:szCs w:val="20"/>
        </w:rPr>
        <w:t xml:space="preserve"> </w:t>
      </w:r>
      <w:r w:rsidRPr="7E111EB3">
        <w:rPr>
          <w:rFonts w:asciiTheme="minorHAnsi" w:hAnsiTheme="minorHAnsi" w:cstheme="minorBidi"/>
          <w:sz w:val="20"/>
          <w:szCs w:val="20"/>
        </w:rPr>
        <w:t>omogočila boljši pregled nad zemljišči namenjenimi gradnji ter učinkovitejšemu načrtovanju razvoja naselij. </w:t>
      </w:r>
    </w:p>
    <w:p w14:paraId="38CE3441" w14:textId="77777777" w:rsid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</w:p>
    <w:p w14:paraId="47E215A4" w14:textId="77777777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 xml:space="preserve">Evidenca stavbnih zemljišč (ESZ) je uradna zbirka podatkov, ki vsebuje informacije o pozidanih in nepozidanih stavbnih zemljiščih. Pozidana stavbna zemljišča so poseljena zemljišča (gradbene parcele, pripadajoča zemljišča stavb ter drugih gradbenih inženirskih objektov)  in pripadajoča zemljišča javne cestne in javne železniške infrastrukture. </w:t>
      </w:r>
    </w:p>
    <w:p w14:paraId="32DAD84E" w14:textId="77777777" w:rsid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</w:p>
    <w:p w14:paraId="47650760" w14:textId="18F2BA1E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Nepozidana stavbna zemljišča so parcele ali več parcel ali njihovih delov, ki so z občinskim prostorskim izvedbenim aktom namenjene za graditev objektov in niso pozidana zemljišča. </w:t>
      </w:r>
    </w:p>
    <w:p w14:paraId="3F5DA32A" w14:textId="77777777" w:rsid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</w:p>
    <w:p w14:paraId="6E01A9BC" w14:textId="322B6C2A" w:rsidR="001B6482" w:rsidRPr="001B6482" w:rsidRDefault="001B6482" w:rsidP="7E111EB3">
      <w:pPr>
        <w:jc w:val="both"/>
        <w:rPr>
          <w:rFonts w:asciiTheme="minorHAnsi" w:hAnsiTheme="minorHAnsi" w:cstheme="minorBidi"/>
          <w:sz w:val="20"/>
          <w:szCs w:val="20"/>
        </w:rPr>
      </w:pPr>
      <w:r w:rsidRPr="7E111EB3">
        <w:rPr>
          <w:rFonts w:asciiTheme="minorHAnsi" w:hAnsiTheme="minorHAnsi" w:cstheme="minorBidi"/>
          <w:sz w:val="20"/>
          <w:szCs w:val="20"/>
        </w:rPr>
        <w:t>Nepozidanim stavbnim zemljiščem se bo določila razvojna stopnja, ki bo zemljišča razvrščala v pet skupin glede na njihovo stopnjo razvoja. V praksi to pomeni, da je zemljišče v najvišji razvojni stopnji zazidljivo</w:t>
      </w:r>
      <w:r w:rsidR="5005C7B6" w:rsidRPr="7E111EB3">
        <w:rPr>
          <w:rFonts w:asciiTheme="minorHAnsi" w:hAnsiTheme="minorHAnsi" w:cstheme="minorBidi"/>
          <w:sz w:val="20"/>
          <w:szCs w:val="20"/>
        </w:rPr>
        <w:t xml:space="preserve"> in </w:t>
      </w:r>
      <w:r w:rsidRPr="7E111EB3">
        <w:rPr>
          <w:rFonts w:asciiTheme="minorHAnsi" w:hAnsiTheme="minorHAnsi" w:cstheme="minorBidi"/>
          <w:sz w:val="20"/>
          <w:szCs w:val="20"/>
        </w:rPr>
        <w:t>komunalno opremljen</w:t>
      </w:r>
      <w:r w:rsidR="3B4129F6" w:rsidRPr="7E111EB3">
        <w:rPr>
          <w:rFonts w:asciiTheme="minorHAnsi" w:hAnsiTheme="minorHAnsi" w:cstheme="minorBidi"/>
          <w:sz w:val="20"/>
          <w:szCs w:val="20"/>
        </w:rPr>
        <w:t>o.</w:t>
      </w:r>
    </w:p>
    <w:p w14:paraId="0C98E3D4" w14:textId="0605ED8B" w:rsidR="001B6482" w:rsidRPr="001B6482" w:rsidRDefault="001B6482" w:rsidP="7E111EB3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5ACBFC29" w14:textId="4D772261" w:rsidR="001B6482" w:rsidRPr="001B6482" w:rsidRDefault="001B6482" w:rsidP="7E111EB3">
      <w:pPr>
        <w:jc w:val="both"/>
        <w:rPr>
          <w:rFonts w:asciiTheme="minorHAnsi" w:hAnsiTheme="minorHAnsi" w:cstheme="minorBidi"/>
          <w:sz w:val="20"/>
          <w:szCs w:val="20"/>
        </w:rPr>
      </w:pPr>
      <w:r w:rsidRPr="7E111EB3">
        <w:rPr>
          <w:rFonts w:asciiTheme="minorHAnsi" w:hAnsiTheme="minorHAnsi" w:cstheme="minorBidi"/>
          <w:sz w:val="20"/>
          <w:szCs w:val="20"/>
        </w:rPr>
        <w:t>Razvojna stopnja zemljišča je odvisna od regulacije zemljišča s prostorskimi akti, njegove opremljenosti z gospodarsko javno infrastrukturo in od obstoja pravnih režimov na njem. </w:t>
      </w:r>
    </w:p>
    <w:p w14:paraId="4C2DDEB5" w14:textId="77777777" w:rsid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</w:p>
    <w:p w14:paraId="5E95A8A1" w14:textId="2D9BC6FF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Razvojne stopnje so: </w:t>
      </w:r>
    </w:p>
    <w:p w14:paraId="2E730C5E" w14:textId="77777777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-        1. razvojna stopnja: nezazidljivo zemljišče, </w:t>
      </w:r>
    </w:p>
    <w:p w14:paraId="0EAE50DC" w14:textId="77777777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-        2. razvojna stopnja: prostorsko neurejeno zemljišče, </w:t>
      </w:r>
    </w:p>
    <w:p w14:paraId="5060D22D" w14:textId="77777777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-        3. razvojna stopnja: neopremljeno ali delno opremljeno zemljišče, </w:t>
      </w:r>
    </w:p>
    <w:p w14:paraId="2D6BE26A" w14:textId="77777777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-        4. razvojna stopnja: neurejeno zazidljivo zemljišče, </w:t>
      </w:r>
    </w:p>
    <w:p w14:paraId="1ED9BCB9" w14:textId="77777777" w:rsidR="001B6482" w:rsidRPr="001B6482" w:rsidRDefault="001B6482" w:rsidP="00634998">
      <w:pPr>
        <w:jc w:val="both"/>
        <w:rPr>
          <w:rFonts w:asciiTheme="minorHAnsi" w:hAnsiTheme="minorHAnsi" w:cstheme="minorHAnsi"/>
          <w:sz w:val="20"/>
          <w:szCs w:val="21"/>
        </w:rPr>
      </w:pPr>
      <w:r w:rsidRPr="001B6482">
        <w:rPr>
          <w:rFonts w:asciiTheme="minorHAnsi" w:hAnsiTheme="minorHAnsi" w:cstheme="minorHAnsi"/>
          <w:sz w:val="20"/>
          <w:szCs w:val="21"/>
        </w:rPr>
        <w:t>-        5. razvojna stopnja: urejeno zazidljivo zemljišče. </w:t>
      </w:r>
    </w:p>
    <w:p w14:paraId="6F2A6142" w14:textId="77777777" w:rsidR="001B6482" w:rsidRPr="00CF514B" w:rsidRDefault="001B6482" w:rsidP="0017551B">
      <w:pPr>
        <w:rPr>
          <w:rFonts w:asciiTheme="minorHAnsi" w:hAnsiTheme="minorHAnsi" w:cstheme="minorHAnsi"/>
          <w:sz w:val="20"/>
          <w:szCs w:val="21"/>
        </w:rPr>
      </w:pPr>
    </w:p>
    <w:p w14:paraId="2B0FED50" w14:textId="355C3CB0" w:rsidR="003E66E5" w:rsidRPr="00CD7507" w:rsidRDefault="003E66E5" w:rsidP="003E66E5">
      <w:pPr>
        <w:pStyle w:val="Title"/>
        <w:spacing w:before="240"/>
        <w:ind w:left="0" w:right="117"/>
        <w:rPr>
          <w:rFonts w:asciiTheme="minorHAnsi" w:eastAsiaTheme="majorEastAsia" w:hAnsiTheme="minorHAnsi" w:cstheme="minorHAnsi"/>
          <w:bCs w:val="0"/>
          <w:sz w:val="24"/>
          <w:szCs w:val="28"/>
          <w:lang w:eastAsia="en-GB"/>
        </w:rPr>
      </w:pPr>
      <w:r w:rsidRPr="00CD7507">
        <w:rPr>
          <w:rFonts w:asciiTheme="minorHAnsi" w:eastAsiaTheme="majorEastAsia" w:hAnsiTheme="minorHAnsi" w:cstheme="minorHAnsi"/>
          <w:bCs w:val="0"/>
          <w:sz w:val="24"/>
          <w:szCs w:val="28"/>
          <w:lang w:eastAsia="en-GB"/>
        </w:rPr>
        <w:t>Pravna podlaga</w:t>
      </w:r>
    </w:p>
    <w:p w14:paraId="4C4B12C4" w14:textId="77777777" w:rsidR="00682B61" w:rsidRPr="00CD7507" w:rsidRDefault="00682B61" w:rsidP="0017551B">
      <w:pPr>
        <w:rPr>
          <w:rFonts w:asciiTheme="minorHAnsi" w:hAnsiTheme="minorHAnsi" w:cstheme="minorHAnsi"/>
          <w:sz w:val="20"/>
          <w:szCs w:val="21"/>
        </w:rPr>
      </w:pPr>
    </w:p>
    <w:p w14:paraId="54080E2E" w14:textId="526BE519" w:rsidR="00544F74" w:rsidRPr="00CF514B" w:rsidRDefault="001A0271" w:rsidP="0017551B">
      <w:pPr>
        <w:rPr>
          <w:rFonts w:asciiTheme="minorHAnsi" w:hAnsiTheme="minorHAnsi" w:cstheme="minorHAnsi"/>
          <w:sz w:val="20"/>
          <w:szCs w:val="21"/>
        </w:rPr>
      </w:pPr>
      <w:r w:rsidRPr="00CD7507">
        <w:rPr>
          <w:rFonts w:asciiTheme="minorHAnsi" w:hAnsiTheme="minorHAnsi" w:cstheme="minorHAnsi"/>
          <w:sz w:val="20"/>
          <w:szCs w:val="21"/>
        </w:rPr>
        <w:t>Pravna podlaga za vzpostavitv</w:t>
      </w:r>
      <w:r w:rsidR="00E96879" w:rsidRPr="00CD7507">
        <w:rPr>
          <w:rFonts w:asciiTheme="minorHAnsi" w:hAnsiTheme="minorHAnsi" w:cstheme="minorHAnsi"/>
          <w:sz w:val="20"/>
          <w:szCs w:val="21"/>
        </w:rPr>
        <w:t>e</w:t>
      </w:r>
      <w:r w:rsidRPr="00CD7507">
        <w:rPr>
          <w:rFonts w:asciiTheme="minorHAnsi" w:hAnsiTheme="minorHAnsi" w:cstheme="minorHAnsi"/>
          <w:sz w:val="20"/>
          <w:szCs w:val="21"/>
        </w:rPr>
        <w:t xml:space="preserve"> evidence stavbnih zemlj</w:t>
      </w:r>
      <w:r w:rsidR="00E96879" w:rsidRPr="00CD7507">
        <w:rPr>
          <w:rFonts w:asciiTheme="minorHAnsi" w:hAnsiTheme="minorHAnsi" w:cstheme="minorHAnsi"/>
          <w:sz w:val="20"/>
          <w:szCs w:val="21"/>
        </w:rPr>
        <w:t xml:space="preserve">išč je dana </w:t>
      </w:r>
      <w:r w:rsidR="00E96879" w:rsidRPr="00CF514B">
        <w:rPr>
          <w:rFonts w:asciiTheme="minorHAnsi" w:hAnsiTheme="minorHAnsi" w:cstheme="minorHAnsi"/>
          <w:sz w:val="20"/>
          <w:szCs w:val="21"/>
        </w:rPr>
        <w:t>na podlagi določil Zakona o urejanju prostora (ZUreP-3, Uradni list RS, št. 199/21, 18/23 – ZDU-1O, 78/23 – ZUNPEOVE, 95/23 – ZIUOPZP, 23/24, 109/24 in 25/25 – odl. US</w:t>
      </w:r>
      <w:r w:rsidR="00CF514B" w:rsidRPr="00CF514B">
        <w:rPr>
          <w:rFonts w:asciiTheme="minorHAnsi" w:hAnsiTheme="minorHAnsi" w:cstheme="minorHAnsi"/>
          <w:sz w:val="20"/>
          <w:szCs w:val="21"/>
        </w:rPr>
        <w:t>; v nadaljevanju Z</w:t>
      </w:r>
      <w:r w:rsidR="008030A5">
        <w:rPr>
          <w:rFonts w:asciiTheme="minorHAnsi" w:hAnsiTheme="minorHAnsi" w:cstheme="minorHAnsi"/>
          <w:sz w:val="20"/>
          <w:szCs w:val="21"/>
        </w:rPr>
        <w:t>U</w:t>
      </w:r>
      <w:r w:rsidR="00CF514B" w:rsidRPr="00CF514B">
        <w:rPr>
          <w:rFonts w:asciiTheme="minorHAnsi" w:hAnsiTheme="minorHAnsi" w:cstheme="minorHAnsi"/>
          <w:sz w:val="20"/>
          <w:szCs w:val="21"/>
        </w:rPr>
        <w:t>reP-3</w:t>
      </w:r>
      <w:r w:rsidR="00E96879" w:rsidRPr="00CF514B">
        <w:rPr>
          <w:rFonts w:asciiTheme="minorHAnsi" w:hAnsiTheme="minorHAnsi" w:cstheme="minorHAnsi"/>
          <w:sz w:val="20"/>
          <w:szCs w:val="21"/>
        </w:rPr>
        <w:t xml:space="preserve">). </w:t>
      </w:r>
    </w:p>
    <w:p w14:paraId="31B371F0" w14:textId="3A3C73B9" w:rsidR="00464530" w:rsidRPr="00CD7507" w:rsidRDefault="00464530" w:rsidP="00464530">
      <w:pPr>
        <w:pStyle w:val="Title"/>
        <w:spacing w:before="240"/>
        <w:ind w:left="0" w:right="117"/>
        <w:rPr>
          <w:rFonts w:asciiTheme="minorHAnsi" w:eastAsiaTheme="majorEastAsia" w:hAnsiTheme="minorHAnsi" w:cstheme="minorHAnsi"/>
          <w:bCs w:val="0"/>
          <w:sz w:val="24"/>
          <w:szCs w:val="28"/>
          <w:lang w:eastAsia="en-GB"/>
        </w:rPr>
      </w:pPr>
      <w:r w:rsidRPr="00CD7507">
        <w:rPr>
          <w:rFonts w:asciiTheme="minorHAnsi" w:eastAsiaTheme="majorEastAsia" w:hAnsiTheme="minorHAnsi" w:cstheme="minorHAnsi"/>
          <w:bCs w:val="0"/>
          <w:sz w:val="24"/>
          <w:szCs w:val="28"/>
          <w:lang w:eastAsia="en-GB"/>
        </w:rPr>
        <w:t xml:space="preserve">Postopek </w:t>
      </w:r>
      <w:r w:rsidR="00CF514B" w:rsidRPr="00CD7507">
        <w:rPr>
          <w:rFonts w:asciiTheme="minorHAnsi" w:eastAsiaTheme="majorEastAsia" w:hAnsiTheme="minorHAnsi" w:cstheme="minorHAnsi"/>
          <w:bCs w:val="0"/>
          <w:sz w:val="24"/>
          <w:szCs w:val="28"/>
          <w:lang w:eastAsia="en-GB"/>
        </w:rPr>
        <w:t>vzpostavitve</w:t>
      </w:r>
    </w:p>
    <w:p w14:paraId="659F4613" w14:textId="2A8FCDB0" w:rsidR="00464530" w:rsidRPr="008030A5" w:rsidRDefault="00CF514B" w:rsidP="00464530">
      <w:pPr>
        <w:pStyle w:val="Title"/>
        <w:spacing w:before="240"/>
        <w:ind w:left="0" w:right="117"/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</w:pPr>
      <w:r w:rsidRPr="00CD7507"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  <w:t xml:space="preserve">Postopek vzpostavitve evidence stavbnih zemljišč se izvaja na podlagi določil 324. </w:t>
      </w:r>
      <w:r w:rsidR="000A5F06" w:rsidRPr="008030A5"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  <w:t>čl</w:t>
      </w:r>
      <w:r w:rsidRPr="008030A5"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  <w:t>ena Z</w:t>
      </w:r>
      <w:r w:rsidR="000A5F06" w:rsidRPr="008030A5"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  <w:t>U</w:t>
      </w:r>
      <w:r w:rsidRPr="008030A5"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  <w:t>reP-3</w:t>
      </w:r>
      <w:r w:rsidR="00EE58AA" w:rsidRPr="008030A5">
        <w:rPr>
          <w:rFonts w:asciiTheme="minorHAnsi" w:eastAsiaTheme="majorEastAsia" w:hAnsiTheme="minorHAnsi" w:cstheme="minorHAnsi"/>
          <w:b w:val="0"/>
          <w:sz w:val="20"/>
          <w:szCs w:val="21"/>
          <w:lang w:eastAsia="en-GB"/>
        </w:rPr>
        <w:t>.</w:t>
      </w:r>
    </w:p>
    <w:p w14:paraId="695B1322" w14:textId="15389CD4" w:rsidR="006E7FF0" w:rsidRDefault="00F977C3" w:rsidP="00464530">
      <w:pPr>
        <w:pStyle w:val="Title"/>
        <w:spacing w:before="240"/>
        <w:ind w:left="0" w:right="117"/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</w:pPr>
      <w:r>
        <w:rPr>
          <w:rFonts w:asciiTheme="minorHAnsi" w:eastAsiaTheme="majorEastAsia" w:hAnsiTheme="minorHAnsi" w:cstheme="minorHAnsi"/>
          <w:b w:val="0"/>
          <w:noProof/>
          <w:sz w:val="20"/>
          <w:szCs w:val="21"/>
          <w:lang w:val="en-GB" w:eastAsia="en-GB"/>
          <w14:ligatures w14:val="standardContextual"/>
        </w:rPr>
        <w:drawing>
          <wp:inline distT="0" distB="0" distL="0" distR="0" wp14:anchorId="37E52BC3" wp14:editId="0E3BDDD2">
            <wp:extent cx="5486400" cy="697042"/>
            <wp:effectExtent l="0" t="0" r="25400" b="1905"/>
            <wp:docPr id="144936215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20BED83" w14:textId="3E704C02" w:rsidR="00CF514B" w:rsidRDefault="00CF514B" w:rsidP="0084539A">
      <w:pPr>
        <w:pStyle w:val="Title"/>
        <w:spacing w:before="240"/>
        <w:ind w:left="0" w:right="117"/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</w:pPr>
      <w:r w:rsidRPr="0084539A"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  <w:t xml:space="preserve">Občina določi </w:t>
      </w:r>
      <w:r w:rsidRPr="0084539A">
        <w:rPr>
          <w:rFonts w:asciiTheme="minorHAnsi" w:eastAsiaTheme="majorEastAsia" w:hAnsiTheme="minorHAnsi" w:cstheme="minorHAnsi"/>
          <w:bCs w:val="0"/>
          <w:sz w:val="20"/>
          <w:szCs w:val="21"/>
          <w:lang w:val="en-GB" w:eastAsia="en-GB"/>
        </w:rPr>
        <w:t>predlog poseljenih zemljišč in nepozidanih stavbnih zemljišč</w:t>
      </w:r>
      <w:r w:rsidRPr="0084539A"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  <w:t xml:space="preserve">. Pri določanju predloga poseljenih zemljišč uporabi podatke </w:t>
      </w:r>
      <w:r w:rsidR="00D45104"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  <w:t>masovnega zajema poseljenih zemljišč</w:t>
      </w:r>
      <w:r w:rsidRPr="0084539A"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  <w:t xml:space="preserve">, </w:t>
      </w:r>
      <w:r w:rsidR="003C585C"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  <w:t>ki ga je izvedlo pristojno ministrstvo</w:t>
      </w:r>
      <w:r w:rsidRPr="0084539A">
        <w:rPr>
          <w:rFonts w:asciiTheme="minorHAnsi" w:eastAsiaTheme="majorEastAsia" w:hAnsiTheme="minorHAnsi" w:cstheme="minorHAnsi"/>
          <w:b w:val="0"/>
          <w:sz w:val="20"/>
          <w:szCs w:val="21"/>
          <w:lang w:val="en-GB" w:eastAsia="en-GB"/>
        </w:rPr>
        <w:t>, podatke o pripadajočih zemljiščih javne cestne in javne železniške infrastrukture ter druge podatke o pozidanih zemljiščih. Nepozidanim stavbnim zemljiščem občina določi razvojne stopnje.</w:t>
      </w:r>
    </w:p>
    <w:p w14:paraId="0AD7B01E" w14:textId="77777777" w:rsidR="000F58A5" w:rsidRDefault="000F58A5" w:rsidP="000F58A5">
      <w:pPr>
        <w:jc w:val="both"/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</w:pPr>
    </w:p>
    <w:p w14:paraId="7BF7BA29" w14:textId="2431FEC5" w:rsidR="000F58A5" w:rsidRDefault="000F58A5" w:rsidP="000F58A5">
      <w:pPr>
        <w:jc w:val="both"/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</w:pPr>
      <w:r w:rsidRPr="003C585C"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  <w:t xml:space="preserve">Občina o predlogu poseljenih zemljišč in nepozidanih stavbnih zemljišč seznani lastnike nepremičnin </w:t>
      </w:r>
      <w:r w:rsidRPr="003C585C">
        <w:rPr>
          <w:rFonts w:asciiTheme="minorHAnsi" w:eastAsiaTheme="majorEastAsia" w:hAnsiTheme="minorHAnsi" w:cstheme="minorHAnsi"/>
          <w:b/>
          <w:sz w:val="20"/>
          <w:szCs w:val="21"/>
          <w:lang w:val="en-GB"/>
        </w:rPr>
        <w:t xml:space="preserve">z javno razgrnitvijo podatkov </w:t>
      </w:r>
      <w:r w:rsidRPr="003C585C"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  <w:t>na sedežu občine in na svetovnem spletu, ki ne sme biti krajša od 30 dni.</w:t>
      </w:r>
      <w:r w:rsidR="000B2EDD"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  <w:t xml:space="preserve"> Lastniki nepremičnine lahko v času javne razgrnitve podatkov pošljejo obrazložene pripombe k predlogu evidence stavbnih zemljišč.</w:t>
      </w:r>
    </w:p>
    <w:p w14:paraId="6D74382D" w14:textId="77777777" w:rsidR="000B2EDD" w:rsidRDefault="000B2EDD" w:rsidP="000F58A5">
      <w:pPr>
        <w:jc w:val="both"/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</w:pPr>
    </w:p>
    <w:p w14:paraId="40F4B99A" w14:textId="013B9FC6" w:rsidR="00CF514B" w:rsidRDefault="00CF514B" w:rsidP="7E111EB3">
      <w:pPr>
        <w:jc w:val="both"/>
        <w:rPr>
          <w:rFonts w:asciiTheme="minorHAnsi" w:eastAsiaTheme="majorEastAsia" w:hAnsiTheme="minorHAnsi" w:cstheme="minorBidi"/>
          <w:sz w:val="20"/>
          <w:szCs w:val="20"/>
          <w:lang w:val="en-GB"/>
        </w:rPr>
      </w:pPr>
      <w:r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>Občina pravočasno prejete pripombe lastnikov nepremičnin prouči</w:t>
      </w:r>
      <w:r w:rsidR="00C117F4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 xml:space="preserve"> in u</w:t>
      </w:r>
      <w:r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 xml:space="preserve">temeljene pripombe upošteva pri </w:t>
      </w:r>
      <w:r w:rsidRPr="7E111EB3">
        <w:rPr>
          <w:rFonts w:asciiTheme="minorHAnsi" w:eastAsiaTheme="majorEastAsia" w:hAnsiTheme="minorHAnsi" w:cstheme="minorBidi"/>
          <w:b/>
          <w:bCs/>
          <w:sz w:val="20"/>
          <w:szCs w:val="20"/>
          <w:lang w:val="en-GB"/>
        </w:rPr>
        <w:t>pripravi končnega predloga podatkov in lastnika zemljišča pisno seznani</w:t>
      </w:r>
      <w:r w:rsidR="00C117F4" w:rsidRPr="7E111EB3">
        <w:rPr>
          <w:rFonts w:asciiTheme="minorHAnsi" w:eastAsiaTheme="majorEastAsia" w:hAnsiTheme="minorHAnsi" w:cstheme="minorBidi"/>
          <w:b/>
          <w:bCs/>
          <w:sz w:val="20"/>
          <w:szCs w:val="20"/>
          <w:lang w:val="en-GB"/>
        </w:rPr>
        <w:t xml:space="preserve"> </w:t>
      </w:r>
      <w:r w:rsidRPr="7E111EB3">
        <w:rPr>
          <w:rFonts w:asciiTheme="minorHAnsi" w:eastAsiaTheme="majorEastAsia" w:hAnsiTheme="minorHAnsi" w:cstheme="minorBidi"/>
          <w:b/>
          <w:bCs/>
          <w:sz w:val="20"/>
          <w:szCs w:val="20"/>
          <w:lang w:val="en-GB"/>
        </w:rPr>
        <w:t>s stališčem glede pripomb</w:t>
      </w:r>
      <w:r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>.</w:t>
      </w:r>
      <w:r w:rsidR="00C117F4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 xml:space="preserve"> </w:t>
      </w:r>
      <w:r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>Občina posreduje podatke o poseljenih zemljiščih, podatke o pripadajočih zemljiščih javne cestne in javne železniške infrastrukture ter podatke o nepozidanih stavbnih zemljiščih z razvojnimi stopnjami v evidenco stavbnih zemljišč</w:t>
      </w:r>
      <w:r w:rsidR="00CA5222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 xml:space="preserve"> do 31.12.2026.</w:t>
      </w:r>
      <w:r w:rsidR="008A350B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 xml:space="preserve"> Evidenca stavbnih zemljišč je vzpostavljena </w:t>
      </w:r>
      <w:r w:rsidR="00933F9C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>z dnem objave</w:t>
      </w:r>
      <w:r w:rsidR="00F0165B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 xml:space="preserve"> podatkov v </w:t>
      </w:r>
      <w:r w:rsidR="00933F9C" w:rsidRPr="7E111EB3">
        <w:rPr>
          <w:rFonts w:asciiTheme="minorHAnsi" w:eastAsiaTheme="majorEastAsia" w:hAnsiTheme="minorHAnsi" w:cstheme="minorBidi"/>
          <w:sz w:val="20"/>
          <w:szCs w:val="20"/>
          <w:lang w:val="en-GB"/>
        </w:rPr>
        <w:t>evidenci stavbnih zemljišč na državni ravni.</w:t>
      </w:r>
    </w:p>
    <w:p w14:paraId="1586A14B" w14:textId="7DAF42E0" w:rsidR="7E111EB3" w:rsidRDefault="7E111EB3" w:rsidP="7E111EB3">
      <w:pPr>
        <w:jc w:val="both"/>
        <w:rPr>
          <w:rFonts w:asciiTheme="minorHAnsi" w:eastAsiaTheme="majorEastAsia" w:hAnsiTheme="minorHAnsi" w:cstheme="minorBidi"/>
          <w:sz w:val="20"/>
          <w:szCs w:val="20"/>
          <w:lang w:val="en-GB"/>
        </w:rPr>
      </w:pPr>
    </w:p>
    <w:p w14:paraId="3D62EB73" w14:textId="1D5A1A67" w:rsidR="7E111EB3" w:rsidRDefault="7E111EB3" w:rsidP="7E111EB3">
      <w:pPr>
        <w:jc w:val="both"/>
        <w:rPr>
          <w:rFonts w:asciiTheme="minorHAnsi" w:eastAsiaTheme="majorEastAsia" w:hAnsiTheme="minorHAnsi" w:cstheme="minorBidi"/>
          <w:sz w:val="20"/>
          <w:szCs w:val="20"/>
          <w:lang w:val="en-GB"/>
        </w:rPr>
      </w:pPr>
    </w:p>
    <w:p w14:paraId="4EAF0B13" w14:textId="77777777" w:rsidR="00EC463B" w:rsidRDefault="00EC463B" w:rsidP="00C117F4">
      <w:pPr>
        <w:jc w:val="both"/>
        <w:rPr>
          <w:rFonts w:asciiTheme="minorHAnsi" w:eastAsiaTheme="majorEastAsia" w:hAnsiTheme="minorHAnsi" w:cstheme="minorHAnsi"/>
          <w:bCs/>
          <w:sz w:val="20"/>
          <w:szCs w:val="21"/>
          <w:lang w:val="en-GB"/>
        </w:rPr>
      </w:pPr>
    </w:p>
    <w:p w14:paraId="1793098D" w14:textId="77777777" w:rsidR="0017551B" w:rsidRDefault="0017551B"/>
    <w:sectPr w:rsidR="0017551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9A5F" w14:textId="77777777" w:rsidR="007E10C4" w:rsidRDefault="007E10C4">
      <w:r>
        <w:separator/>
      </w:r>
    </w:p>
  </w:endnote>
  <w:endnote w:type="continuationSeparator" w:id="0">
    <w:p w14:paraId="250B0DDA" w14:textId="77777777" w:rsidR="007E10C4" w:rsidRDefault="007E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111EB3" w14:paraId="68B11B16" w14:textId="77777777" w:rsidTr="7E111EB3">
      <w:trPr>
        <w:trHeight w:val="300"/>
      </w:trPr>
      <w:tc>
        <w:tcPr>
          <w:tcW w:w="3005" w:type="dxa"/>
        </w:tcPr>
        <w:p w14:paraId="3B1042A0" w14:textId="63F06B30" w:rsidR="7E111EB3" w:rsidRDefault="7E111EB3" w:rsidP="7E111EB3">
          <w:pPr>
            <w:pStyle w:val="Header"/>
            <w:ind w:left="-115"/>
          </w:pPr>
        </w:p>
      </w:tc>
      <w:tc>
        <w:tcPr>
          <w:tcW w:w="3005" w:type="dxa"/>
        </w:tcPr>
        <w:p w14:paraId="02FFC1D1" w14:textId="131B7A43" w:rsidR="7E111EB3" w:rsidRDefault="7E111EB3" w:rsidP="7E111EB3">
          <w:pPr>
            <w:pStyle w:val="Header"/>
            <w:jc w:val="center"/>
          </w:pPr>
        </w:p>
      </w:tc>
      <w:tc>
        <w:tcPr>
          <w:tcW w:w="3005" w:type="dxa"/>
        </w:tcPr>
        <w:p w14:paraId="412334D0" w14:textId="7047F713" w:rsidR="7E111EB3" w:rsidRDefault="7E111EB3" w:rsidP="7E111EB3">
          <w:pPr>
            <w:pStyle w:val="Header"/>
            <w:ind w:right="-115"/>
            <w:jc w:val="right"/>
          </w:pPr>
        </w:p>
      </w:tc>
    </w:tr>
  </w:tbl>
  <w:p w14:paraId="39541523" w14:textId="1FBC17AA" w:rsidR="7E111EB3" w:rsidRDefault="7E111EB3" w:rsidP="7E11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533A" w14:textId="77777777" w:rsidR="007E10C4" w:rsidRDefault="007E10C4">
      <w:r>
        <w:separator/>
      </w:r>
    </w:p>
  </w:footnote>
  <w:footnote w:type="continuationSeparator" w:id="0">
    <w:p w14:paraId="34580C7A" w14:textId="77777777" w:rsidR="007E10C4" w:rsidRDefault="007E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111EB3" w14:paraId="25294777" w14:textId="77777777" w:rsidTr="7E111EB3">
      <w:trPr>
        <w:trHeight w:val="300"/>
      </w:trPr>
      <w:tc>
        <w:tcPr>
          <w:tcW w:w="3005" w:type="dxa"/>
        </w:tcPr>
        <w:p w14:paraId="7483ECBC" w14:textId="5B78706E" w:rsidR="7E111EB3" w:rsidRDefault="7E111EB3" w:rsidP="7E111EB3">
          <w:pPr>
            <w:tabs>
              <w:tab w:val="center" w:pos="4680"/>
              <w:tab w:val="right" w:pos="9360"/>
            </w:tabs>
            <w:ind w:left="-115"/>
            <w:rPr>
              <w:rFonts w:ascii="Calibri" w:eastAsia="Calibri" w:hAnsi="Calibri" w:cs="Calibri"/>
              <w:sz w:val="22"/>
              <w:szCs w:val="22"/>
            </w:rPr>
          </w:pPr>
        </w:p>
      </w:tc>
      <w:tc>
        <w:tcPr>
          <w:tcW w:w="3005" w:type="dxa"/>
        </w:tcPr>
        <w:p w14:paraId="6DA5D6E2" w14:textId="0C94F693" w:rsidR="7E111EB3" w:rsidRDefault="7E111EB3" w:rsidP="7E111EB3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3005" w:type="dxa"/>
        </w:tcPr>
        <w:p w14:paraId="22EE44B4" w14:textId="04FA0D8F" w:rsidR="7E111EB3" w:rsidRDefault="7E111EB3" w:rsidP="7E111EB3">
          <w:pPr>
            <w:tabs>
              <w:tab w:val="center" w:pos="4680"/>
              <w:tab w:val="right" w:pos="9360"/>
            </w:tabs>
            <w:ind w:right="-115"/>
            <w:jc w:val="right"/>
          </w:pPr>
        </w:p>
        <w:p w14:paraId="3397CA17" w14:textId="6458B8B1" w:rsidR="7E111EB3" w:rsidRDefault="7E111EB3" w:rsidP="7E111EB3">
          <w:pPr>
            <w:tabs>
              <w:tab w:val="center" w:pos="4680"/>
              <w:tab w:val="right" w:pos="9360"/>
            </w:tabs>
            <w:ind w:right="-115"/>
          </w:pPr>
          <w:r>
            <w:rPr>
              <w:noProof/>
            </w:rPr>
            <w:drawing>
              <wp:inline distT="0" distB="0" distL="0" distR="0" wp14:anchorId="63309268" wp14:editId="16159FE7">
                <wp:extent cx="1152525" cy="466725"/>
                <wp:effectExtent l="0" t="0" r="0" b="0"/>
                <wp:docPr id="1652533580" name="drawing" descr="Slika, ki vsebuje besede grafika, pisava, tipografij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53358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06FE32E" wp14:editId="2326E685">
                <wp:extent cx="657225" cy="657225"/>
                <wp:effectExtent l="0" t="0" r="0" b="0"/>
                <wp:docPr id="1278992470" name="drawing" descr="Slika, ki vsebuje besede vzorec, barvitost, posnetek zaslon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99247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7E111EB3">
            <w:t xml:space="preserve">   </w:t>
          </w:r>
          <w:r>
            <w:rPr>
              <w:noProof/>
            </w:rPr>
            <w:drawing>
              <wp:inline distT="0" distB="0" distL="0" distR="0" wp14:anchorId="3A5DC429" wp14:editId="3E8131D4">
                <wp:extent cx="1771650" cy="209550"/>
                <wp:effectExtent l="0" t="0" r="0" b="0"/>
                <wp:docPr id="1082531498" name="drawing" descr="PoljeZBesedilom 2, Text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253149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B357F7" w14:textId="3492D99B" w:rsidR="7E111EB3" w:rsidRDefault="7E111EB3" w:rsidP="7E111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09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7A0284"/>
    <w:multiLevelType w:val="hybridMultilevel"/>
    <w:tmpl w:val="630C2E96"/>
    <w:lvl w:ilvl="0" w:tplc="BDFE6006">
      <w:numFmt w:val="bullet"/>
      <w:lvlText w:val="-"/>
      <w:lvlJc w:val="left"/>
      <w:pPr>
        <w:ind w:left="474" w:hanging="358"/>
      </w:pPr>
      <w:rPr>
        <w:rFonts w:ascii="Calibri" w:eastAsia="Calibri" w:hAnsi="Calibri" w:cs="Calibri" w:hint="default"/>
        <w:w w:val="99"/>
        <w:sz w:val="20"/>
        <w:szCs w:val="20"/>
        <w:lang w:val="sl-SI" w:eastAsia="en-US" w:bidi="ar-SA"/>
      </w:rPr>
    </w:lvl>
    <w:lvl w:ilvl="1" w:tplc="52225FCE">
      <w:numFmt w:val="bullet"/>
      <w:lvlText w:val="•"/>
      <w:lvlJc w:val="left"/>
      <w:pPr>
        <w:ind w:left="1362" w:hanging="358"/>
      </w:pPr>
      <w:rPr>
        <w:rFonts w:hint="default"/>
        <w:lang w:val="sl-SI" w:eastAsia="en-US" w:bidi="ar-SA"/>
      </w:rPr>
    </w:lvl>
    <w:lvl w:ilvl="2" w:tplc="C1C2C7E8">
      <w:numFmt w:val="bullet"/>
      <w:lvlText w:val="•"/>
      <w:lvlJc w:val="left"/>
      <w:pPr>
        <w:ind w:left="2245" w:hanging="358"/>
      </w:pPr>
      <w:rPr>
        <w:rFonts w:hint="default"/>
        <w:lang w:val="sl-SI" w:eastAsia="en-US" w:bidi="ar-SA"/>
      </w:rPr>
    </w:lvl>
    <w:lvl w:ilvl="3" w:tplc="B0A055CC">
      <w:numFmt w:val="bullet"/>
      <w:lvlText w:val="•"/>
      <w:lvlJc w:val="left"/>
      <w:pPr>
        <w:ind w:left="3127" w:hanging="358"/>
      </w:pPr>
      <w:rPr>
        <w:rFonts w:hint="default"/>
        <w:lang w:val="sl-SI" w:eastAsia="en-US" w:bidi="ar-SA"/>
      </w:rPr>
    </w:lvl>
    <w:lvl w:ilvl="4" w:tplc="DC9CCA3E">
      <w:numFmt w:val="bullet"/>
      <w:lvlText w:val="•"/>
      <w:lvlJc w:val="left"/>
      <w:pPr>
        <w:ind w:left="4010" w:hanging="358"/>
      </w:pPr>
      <w:rPr>
        <w:rFonts w:hint="default"/>
        <w:lang w:val="sl-SI" w:eastAsia="en-US" w:bidi="ar-SA"/>
      </w:rPr>
    </w:lvl>
    <w:lvl w:ilvl="5" w:tplc="507896FA">
      <w:numFmt w:val="bullet"/>
      <w:lvlText w:val="•"/>
      <w:lvlJc w:val="left"/>
      <w:pPr>
        <w:ind w:left="4893" w:hanging="358"/>
      </w:pPr>
      <w:rPr>
        <w:rFonts w:hint="default"/>
        <w:lang w:val="sl-SI" w:eastAsia="en-US" w:bidi="ar-SA"/>
      </w:rPr>
    </w:lvl>
    <w:lvl w:ilvl="6" w:tplc="60A4D4FC">
      <w:numFmt w:val="bullet"/>
      <w:lvlText w:val="•"/>
      <w:lvlJc w:val="left"/>
      <w:pPr>
        <w:ind w:left="5775" w:hanging="358"/>
      </w:pPr>
      <w:rPr>
        <w:rFonts w:hint="default"/>
        <w:lang w:val="sl-SI" w:eastAsia="en-US" w:bidi="ar-SA"/>
      </w:rPr>
    </w:lvl>
    <w:lvl w:ilvl="7" w:tplc="4622EF7A">
      <w:numFmt w:val="bullet"/>
      <w:lvlText w:val="•"/>
      <w:lvlJc w:val="left"/>
      <w:pPr>
        <w:ind w:left="6658" w:hanging="358"/>
      </w:pPr>
      <w:rPr>
        <w:rFonts w:hint="default"/>
        <w:lang w:val="sl-SI" w:eastAsia="en-US" w:bidi="ar-SA"/>
      </w:rPr>
    </w:lvl>
    <w:lvl w:ilvl="8" w:tplc="D256A580">
      <w:numFmt w:val="bullet"/>
      <w:lvlText w:val="•"/>
      <w:lvlJc w:val="left"/>
      <w:pPr>
        <w:ind w:left="7541" w:hanging="358"/>
      </w:pPr>
      <w:rPr>
        <w:rFonts w:hint="default"/>
        <w:lang w:val="sl-SI" w:eastAsia="en-US" w:bidi="ar-SA"/>
      </w:rPr>
    </w:lvl>
  </w:abstractNum>
  <w:abstractNum w:abstractNumId="2" w15:restartNumberingAfterBreak="0">
    <w:nsid w:val="69D1412E"/>
    <w:multiLevelType w:val="hybridMultilevel"/>
    <w:tmpl w:val="18CCD05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A6CFB"/>
    <w:multiLevelType w:val="hybridMultilevel"/>
    <w:tmpl w:val="742E81A6"/>
    <w:lvl w:ilvl="0" w:tplc="E0966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303183">
    <w:abstractNumId w:val="0"/>
  </w:num>
  <w:num w:numId="2" w16cid:durableId="2043823988">
    <w:abstractNumId w:val="1"/>
  </w:num>
  <w:num w:numId="3" w16cid:durableId="1034304162">
    <w:abstractNumId w:val="2"/>
  </w:num>
  <w:num w:numId="4" w16cid:durableId="34637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1B"/>
    <w:rsid w:val="000A5F06"/>
    <w:rsid w:val="000B2EDD"/>
    <w:rsid w:val="000C631E"/>
    <w:rsid w:val="000F58A5"/>
    <w:rsid w:val="00121A99"/>
    <w:rsid w:val="0013021B"/>
    <w:rsid w:val="001653F1"/>
    <w:rsid w:val="0017551B"/>
    <w:rsid w:val="001A0271"/>
    <w:rsid w:val="001B6482"/>
    <w:rsid w:val="00295576"/>
    <w:rsid w:val="00297FD0"/>
    <w:rsid w:val="00371824"/>
    <w:rsid w:val="003C585C"/>
    <w:rsid w:val="003E66E5"/>
    <w:rsid w:val="003F3496"/>
    <w:rsid w:val="00412B51"/>
    <w:rsid w:val="004146D1"/>
    <w:rsid w:val="00464530"/>
    <w:rsid w:val="004F5845"/>
    <w:rsid w:val="005149C2"/>
    <w:rsid w:val="00520686"/>
    <w:rsid w:val="005370A6"/>
    <w:rsid w:val="00544F74"/>
    <w:rsid w:val="005C0883"/>
    <w:rsid w:val="005C6DBF"/>
    <w:rsid w:val="00634998"/>
    <w:rsid w:val="00682B61"/>
    <w:rsid w:val="006E7FF0"/>
    <w:rsid w:val="007E10C4"/>
    <w:rsid w:val="008030A5"/>
    <w:rsid w:val="00831EE7"/>
    <w:rsid w:val="008348DD"/>
    <w:rsid w:val="0084539A"/>
    <w:rsid w:val="008A350B"/>
    <w:rsid w:val="008E6386"/>
    <w:rsid w:val="00922733"/>
    <w:rsid w:val="00933F9C"/>
    <w:rsid w:val="00A12E9A"/>
    <w:rsid w:val="00A152AA"/>
    <w:rsid w:val="00BA36A9"/>
    <w:rsid w:val="00BB6A10"/>
    <w:rsid w:val="00C117F4"/>
    <w:rsid w:val="00CA5222"/>
    <w:rsid w:val="00CD673C"/>
    <w:rsid w:val="00CD7507"/>
    <w:rsid w:val="00CF514B"/>
    <w:rsid w:val="00D45104"/>
    <w:rsid w:val="00DB0FA8"/>
    <w:rsid w:val="00E31F06"/>
    <w:rsid w:val="00E96879"/>
    <w:rsid w:val="00EC463B"/>
    <w:rsid w:val="00EE58AA"/>
    <w:rsid w:val="00EF7A6C"/>
    <w:rsid w:val="00F0165B"/>
    <w:rsid w:val="00F977C3"/>
    <w:rsid w:val="00FD72B9"/>
    <w:rsid w:val="1403D9BD"/>
    <w:rsid w:val="3B4129F6"/>
    <w:rsid w:val="4F72DE15"/>
    <w:rsid w:val="5005C7B6"/>
    <w:rsid w:val="56DFFB83"/>
    <w:rsid w:val="5A9FB0FD"/>
    <w:rsid w:val="5FE92882"/>
    <w:rsid w:val="606B28EC"/>
    <w:rsid w:val="69A2F426"/>
    <w:rsid w:val="7E1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656DA"/>
  <w15:chartTrackingRefBased/>
  <w15:docId w15:val="{FE8C9DB7-2BBE-0344-8583-7EC07F33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7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17551B"/>
    <w:pPr>
      <w:keepNext/>
      <w:keepLines/>
      <w:pageBreakBefore/>
      <w:numPr>
        <w:numId w:val="1"/>
      </w:numPr>
      <w:spacing w:after="120"/>
      <w:jc w:val="both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17551B"/>
    <w:pPr>
      <w:keepNext/>
      <w:keepLines/>
      <w:numPr>
        <w:ilvl w:val="1"/>
        <w:numId w:val="1"/>
      </w:numPr>
      <w:spacing w:before="420" w:after="180"/>
      <w:jc w:val="both"/>
      <w:outlineLvl w:val="1"/>
    </w:pPr>
    <w:rPr>
      <w:rFonts w:ascii="Source Sans Pro SemiBold" w:eastAsiaTheme="majorEastAsia" w:hAnsi="Source Sans Pro SemiBold" w:cs="Times New Roman (Headings CS)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17551B"/>
    <w:pPr>
      <w:keepNext/>
      <w:keepLines/>
      <w:numPr>
        <w:ilvl w:val="2"/>
        <w:numId w:val="1"/>
      </w:numPr>
      <w:spacing w:before="420" w:after="180"/>
      <w:jc w:val="both"/>
      <w:outlineLvl w:val="2"/>
    </w:pPr>
    <w:rPr>
      <w:rFonts w:ascii="Source Sans Pro" w:eastAsiaTheme="majorEastAsia" w:hAnsi="Source Sans Pro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17551B"/>
    <w:pPr>
      <w:keepNext/>
      <w:keepLines/>
      <w:numPr>
        <w:ilvl w:val="3"/>
        <w:numId w:val="1"/>
      </w:numPr>
      <w:spacing w:before="420" w:after="180"/>
      <w:jc w:val="both"/>
      <w:outlineLvl w:val="3"/>
    </w:pPr>
    <w:rPr>
      <w:rFonts w:ascii="Source Sans Pro" w:eastAsiaTheme="majorEastAsia" w:hAnsi="Source Sans Pro" w:cstheme="majorBidi"/>
      <w:b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17551B"/>
    <w:pPr>
      <w:keepNext/>
      <w:keepLines/>
      <w:numPr>
        <w:ilvl w:val="4"/>
        <w:numId w:val="1"/>
      </w:numPr>
      <w:spacing w:before="420" w:after="180"/>
      <w:jc w:val="both"/>
      <w:outlineLvl w:val="4"/>
    </w:pPr>
    <w:rPr>
      <w:rFonts w:ascii="Source Sans Pro" w:eastAsiaTheme="majorEastAsia" w:hAnsi="Source Sans Pro" w:cstheme="majorBidi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17551B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1B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1B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1B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17551B"/>
    <w:rPr>
      <w:rFonts w:eastAsiaTheme="majorEastAsia" w:cstheme="majorBidi"/>
      <w:b/>
      <w:caps/>
      <w:kern w:val="0"/>
      <w:sz w:val="28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4"/>
    <w:rsid w:val="0017551B"/>
    <w:rPr>
      <w:rFonts w:ascii="Source Sans Pro SemiBold" w:eastAsiaTheme="majorEastAsia" w:hAnsi="Source Sans Pro SemiBold" w:cs="Times New Roman (Headings CS)"/>
      <w:b/>
      <w:caps/>
      <w:kern w:val="0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17551B"/>
    <w:rPr>
      <w:rFonts w:ascii="Source Sans Pro" w:eastAsiaTheme="majorEastAsia" w:hAnsi="Source Sans Pro" w:cstheme="majorBidi"/>
      <w:b/>
      <w:kern w:val="0"/>
      <w:sz w:val="22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4"/>
    <w:rsid w:val="0017551B"/>
    <w:rPr>
      <w:rFonts w:ascii="Source Sans Pro" w:eastAsiaTheme="majorEastAsia" w:hAnsi="Source Sans Pro" w:cstheme="majorBidi"/>
      <w:b/>
      <w:i/>
      <w:iCs/>
      <w:kern w:val="0"/>
      <w:sz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4"/>
    <w:rsid w:val="0017551B"/>
    <w:rPr>
      <w:rFonts w:ascii="Source Sans Pro" w:eastAsiaTheme="majorEastAsia" w:hAnsi="Source Sans Pro" w:cstheme="majorBidi"/>
      <w:b/>
      <w:i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17551B"/>
    <w:rPr>
      <w:rFonts w:asciiTheme="majorHAnsi" w:eastAsiaTheme="majorEastAsia" w:hAnsiTheme="majorHAnsi" w:cstheme="majorBidi"/>
      <w:color w:val="1F3763" w:themeColor="accent1" w:themeShade="7F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1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1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1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7551B"/>
    <w:pPr>
      <w:widowControl w:val="0"/>
      <w:autoSpaceDE w:val="0"/>
      <w:autoSpaceDN w:val="0"/>
      <w:ind w:left="116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7551B"/>
    <w:rPr>
      <w:rFonts w:ascii="Calibri" w:eastAsia="Calibri" w:hAnsi="Calibri" w:cs="Calibri"/>
      <w:kern w:val="0"/>
      <w:sz w:val="20"/>
      <w:szCs w:val="20"/>
      <w:lang w:val="sl-SI"/>
      <w14:ligatures w14:val="none"/>
    </w:rPr>
  </w:style>
  <w:style w:type="paragraph" w:styleId="Title">
    <w:name w:val="Title"/>
    <w:basedOn w:val="Normal"/>
    <w:link w:val="TitleChar"/>
    <w:uiPriority w:val="10"/>
    <w:qFormat/>
    <w:rsid w:val="0017551B"/>
    <w:pPr>
      <w:widowControl w:val="0"/>
      <w:autoSpaceDE w:val="0"/>
      <w:autoSpaceDN w:val="0"/>
      <w:spacing w:before="35"/>
      <w:ind w:left="116"/>
      <w:jc w:val="both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551B"/>
    <w:rPr>
      <w:rFonts w:ascii="Calibri" w:eastAsia="Calibri" w:hAnsi="Calibri" w:cs="Calibri"/>
      <w:b/>
      <w:bCs/>
      <w:kern w:val="0"/>
      <w:sz w:val="32"/>
      <w:szCs w:val="32"/>
      <w:lang w:val="sl-SI"/>
      <w14:ligatures w14:val="none"/>
    </w:rPr>
  </w:style>
  <w:style w:type="paragraph" w:styleId="ListParagraph">
    <w:name w:val="List Paragraph"/>
    <w:basedOn w:val="Normal"/>
    <w:uiPriority w:val="34"/>
    <w:qFormat/>
    <w:rsid w:val="0017551B"/>
    <w:pPr>
      <w:widowControl w:val="0"/>
      <w:autoSpaceDE w:val="0"/>
      <w:autoSpaceDN w:val="0"/>
      <w:ind w:left="474" w:right="113" w:hanging="358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37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0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70A6"/>
    <w:pPr>
      <w:spacing w:before="100" w:beforeAutospacing="1" w:after="100" w:afterAutospacing="1"/>
    </w:pPr>
  </w:style>
  <w:style w:type="paragraph" w:styleId="Header">
    <w:name w:val="header"/>
    <w:basedOn w:val="Normal"/>
    <w:uiPriority w:val="99"/>
    <w:unhideWhenUsed/>
    <w:rsid w:val="7E111EB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E111EB3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4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3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47ABA0-A463-ED4E-87DA-418D5D427B6F}" type="doc">
      <dgm:prSet loTypeId="urn:microsoft.com/office/officeart/2005/8/layout/hChevron3" loCatId="" qsTypeId="urn:microsoft.com/office/officeart/2005/8/quickstyle/simple1" qsCatId="simple" csTypeId="urn:microsoft.com/office/officeart/2005/8/colors/accent1_2" csCatId="accent1" phldr="1"/>
      <dgm:spPr/>
    </dgm:pt>
    <dgm:pt modelId="{1C0D3809-C238-6A4F-8DF1-AE8F211056CB}">
      <dgm:prSet phldrT="[Text]"/>
      <dgm:spPr/>
      <dgm:t>
        <a:bodyPr/>
        <a:lstStyle/>
        <a:p>
          <a:r>
            <a:rPr lang="en-GB"/>
            <a:t>Predlog poseljenih zemljišč in nepozidanih zemljišč</a:t>
          </a:r>
        </a:p>
      </dgm:t>
    </dgm:pt>
    <dgm:pt modelId="{26A896EF-DC87-F941-87A5-D20F15FE9914}" type="parTrans" cxnId="{652F5B7A-E2CA-7B44-9AFB-8192D8CA56DA}">
      <dgm:prSet/>
      <dgm:spPr/>
      <dgm:t>
        <a:bodyPr/>
        <a:lstStyle/>
        <a:p>
          <a:endParaRPr lang="en-GB"/>
        </a:p>
      </dgm:t>
    </dgm:pt>
    <dgm:pt modelId="{05A666D5-8B5B-5E4F-939F-430C9B0467E8}" type="sibTrans" cxnId="{652F5B7A-E2CA-7B44-9AFB-8192D8CA56DA}">
      <dgm:prSet/>
      <dgm:spPr/>
      <dgm:t>
        <a:bodyPr/>
        <a:lstStyle/>
        <a:p>
          <a:endParaRPr lang="en-GB"/>
        </a:p>
      </dgm:t>
    </dgm:pt>
    <dgm:pt modelId="{7A1007F9-37B6-4D4D-BE79-F0E3193970CD}">
      <dgm:prSet phldrT="[Text]"/>
      <dgm:spPr/>
      <dgm:t>
        <a:bodyPr/>
        <a:lstStyle/>
        <a:p>
          <a:r>
            <a:rPr lang="en-GB"/>
            <a:t>Javna razgrnitev</a:t>
          </a:r>
        </a:p>
        <a:p>
          <a:r>
            <a:rPr lang="en-GB"/>
            <a:t>(najmanj 30 dni)</a:t>
          </a:r>
        </a:p>
      </dgm:t>
    </dgm:pt>
    <dgm:pt modelId="{A924D298-C080-F741-B7BD-0E30A86622A2}" type="parTrans" cxnId="{BD07DE96-A19E-7743-8F6F-EC5D2CFE4CCE}">
      <dgm:prSet/>
      <dgm:spPr/>
      <dgm:t>
        <a:bodyPr/>
        <a:lstStyle/>
        <a:p>
          <a:endParaRPr lang="en-GB"/>
        </a:p>
      </dgm:t>
    </dgm:pt>
    <dgm:pt modelId="{7720DABE-1FF0-CF48-9BF3-604AA7809591}" type="sibTrans" cxnId="{BD07DE96-A19E-7743-8F6F-EC5D2CFE4CCE}">
      <dgm:prSet/>
      <dgm:spPr/>
      <dgm:t>
        <a:bodyPr/>
        <a:lstStyle/>
        <a:p>
          <a:endParaRPr lang="en-GB"/>
        </a:p>
      </dgm:t>
    </dgm:pt>
    <dgm:pt modelId="{311D9389-0CD6-A045-8D11-DB6F0A80DA21}">
      <dgm:prSet phldrT="[Text]"/>
      <dgm:spPr/>
      <dgm:t>
        <a:bodyPr/>
        <a:lstStyle/>
        <a:p>
          <a:r>
            <a:rPr lang="en-GB"/>
            <a:t>Priprava stališč do pripomb</a:t>
          </a:r>
        </a:p>
      </dgm:t>
    </dgm:pt>
    <dgm:pt modelId="{AE0F6B38-7FB2-6846-B9B4-E12E7DCA8CC4}" type="parTrans" cxnId="{8F275E8D-85F8-4B48-8987-787949D5B614}">
      <dgm:prSet/>
      <dgm:spPr/>
      <dgm:t>
        <a:bodyPr/>
        <a:lstStyle/>
        <a:p>
          <a:endParaRPr lang="en-GB"/>
        </a:p>
      </dgm:t>
    </dgm:pt>
    <dgm:pt modelId="{075E609D-8545-924E-9E29-33C2A683A3A6}" type="sibTrans" cxnId="{8F275E8D-85F8-4B48-8987-787949D5B614}">
      <dgm:prSet/>
      <dgm:spPr/>
      <dgm:t>
        <a:bodyPr/>
        <a:lstStyle/>
        <a:p>
          <a:endParaRPr lang="en-GB"/>
        </a:p>
      </dgm:t>
    </dgm:pt>
    <dgm:pt modelId="{586F0193-45F9-CA44-B09A-A5E3701D16F3}">
      <dgm:prSet/>
      <dgm:spPr/>
      <dgm:t>
        <a:bodyPr/>
        <a:lstStyle/>
        <a:p>
          <a:r>
            <a:rPr lang="en-GB"/>
            <a:t>Vzpostavitev evidenece stavbnih zemljišč</a:t>
          </a:r>
        </a:p>
      </dgm:t>
    </dgm:pt>
    <dgm:pt modelId="{BCDE606B-2B3D-6F46-A03C-13299DFC0696}" type="parTrans" cxnId="{232ECC35-E19B-A941-BB49-B2FC15ED5C7A}">
      <dgm:prSet/>
      <dgm:spPr/>
      <dgm:t>
        <a:bodyPr/>
        <a:lstStyle/>
        <a:p>
          <a:endParaRPr lang="en-GB"/>
        </a:p>
      </dgm:t>
    </dgm:pt>
    <dgm:pt modelId="{63A9B7E0-FAEE-3C46-BAB5-C3D021A2FE97}" type="sibTrans" cxnId="{232ECC35-E19B-A941-BB49-B2FC15ED5C7A}">
      <dgm:prSet/>
      <dgm:spPr/>
      <dgm:t>
        <a:bodyPr/>
        <a:lstStyle/>
        <a:p>
          <a:endParaRPr lang="en-GB"/>
        </a:p>
      </dgm:t>
    </dgm:pt>
    <dgm:pt modelId="{E42AFA5B-AF6C-1145-9A40-89A19294AE0D}" type="pres">
      <dgm:prSet presAssocID="{A147ABA0-A463-ED4E-87DA-418D5D427B6F}" presName="Name0" presStyleCnt="0">
        <dgm:presLayoutVars>
          <dgm:dir/>
          <dgm:resizeHandles val="exact"/>
        </dgm:presLayoutVars>
      </dgm:prSet>
      <dgm:spPr/>
    </dgm:pt>
    <dgm:pt modelId="{847FB920-D1E4-144E-A514-B5F7922F4C3F}" type="pres">
      <dgm:prSet presAssocID="{1C0D3809-C238-6A4F-8DF1-AE8F211056CB}" presName="parTxOnly" presStyleLbl="node1" presStyleIdx="0" presStyleCnt="4">
        <dgm:presLayoutVars>
          <dgm:bulletEnabled val="1"/>
        </dgm:presLayoutVars>
      </dgm:prSet>
      <dgm:spPr/>
    </dgm:pt>
    <dgm:pt modelId="{9B77C36B-3993-A44C-908E-DCD048A74229}" type="pres">
      <dgm:prSet presAssocID="{05A666D5-8B5B-5E4F-939F-430C9B0467E8}" presName="parSpace" presStyleCnt="0"/>
      <dgm:spPr/>
    </dgm:pt>
    <dgm:pt modelId="{0DC50523-290F-F841-A5E3-7FE340BB7D2A}" type="pres">
      <dgm:prSet presAssocID="{7A1007F9-37B6-4D4D-BE79-F0E3193970CD}" presName="parTxOnly" presStyleLbl="node1" presStyleIdx="1" presStyleCnt="4">
        <dgm:presLayoutVars>
          <dgm:bulletEnabled val="1"/>
        </dgm:presLayoutVars>
      </dgm:prSet>
      <dgm:spPr/>
    </dgm:pt>
    <dgm:pt modelId="{4F34FD83-C9CF-F444-9BFC-73A8ED6AF77F}" type="pres">
      <dgm:prSet presAssocID="{7720DABE-1FF0-CF48-9BF3-604AA7809591}" presName="parSpace" presStyleCnt="0"/>
      <dgm:spPr/>
    </dgm:pt>
    <dgm:pt modelId="{12B56434-4F06-AB46-99D5-0AA9D2AA1FC9}" type="pres">
      <dgm:prSet presAssocID="{311D9389-0CD6-A045-8D11-DB6F0A80DA21}" presName="parTxOnly" presStyleLbl="node1" presStyleIdx="2" presStyleCnt="4">
        <dgm:presLayoutVars>
          <dgm:bulletEnabled val="1"/>
        </dgm:presLayoutVars>
      </dgm:prSet>
      <dgm:spPr/>
    </dgm:pt>
    <dgm:pt modelId="{DF3DF2FF-4BBE-C64B-8F43-1904405B4D41}" type="pres">
      <dgm:prSet presAssocID="{075E609D-8545-924E-9E29-33C2A683A3A6}" presName="parSpace" presStyleCnt="0"/>
      <dgm:spPr/>
    </dgm:pt>
    <dgm:pt modelId="{209BB323-6F20-A046-81FB-613289B74D8A}" type="pres">
      <dgm:prSet presAssocID="{586F0193-45F9-CA44-B09A-A5E3701D16F3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A3E53B13-579E-F248-B704-455469905147}" type="presOf" srcId="{1C0D3809-C238-6A4F-8DF1-AE8F211056CB}" destId="{847FB920-D1E4-144E-A514-B5F7922F4C3F}" srcOrd="0" destOrd="0" presId="urn:microsoft.com/office/officeart/2005/8/layout/hChevron3"/>
    <dgm:cxn modelId="{C797DD28-07AD-DE41-BB73-A18F9AC1B942}" type="presOf" srcId="{7A1007F9-37B6-4D4D-BE79-F0E3193970CD}" destId="{0DC50523-290F-F841-A5E3-7FE340BB7D2A}" srcOrd="0" destOrd="0" presId="urn:microsoft.com/office/officeart/2005/8/layout/hChevron3"/>
    <dgm:cxn modelId="{232ECC35-E19B-A941-BB49-B2FC15ED5C7A}" srcId="{A147ABA0-A463-ED4E-87DA-418D5D427B6F}" destId="{586F0193-45F9-CA44-B09A-A5E3701D16F3}" srcOrd="3" destOrd="0" parTransId="{BCDE606B-2B3D-6F46-A03C-13299DFC0696}" sibTransId="{63A9B7E0-FAEE-3C46-BAB5-C3D021A2FE97}"/>
    <dgm:cxn modelId="{652F5B7A-E2CA-7B44-9AFB-8192D8CA56DA}" srcId="{A147ABA0-A463-ED4E-87DA-418D5D427B6F}" destId="{1C0D3809-C238-6A4F-8DF1-AE8F211056CB}" srcOrd="0" destOrd="0" parTransId="{26A896EF-DC87-F941-87A5-D20F15FE9914}" sibTransId="{05A666D5-8B5B-5E4F-939F-430C9B0467E8}"/>
    <dgm:cxn modelId="{8F275E8D-85F8-4B48-8987-787949D5B614}" srcId="{A147ABA0-A463-ED4E-87DA-418D5D427B6F}" destId="{311D9389-0CD6-A045-8D11-DB6F0A80DA21}" srcOrd="2" destOrd="0" parTransId="{AE0F6B38-7FB2-6846-B9B4-E12E7DCA8CC4}" sibTransId="{075E609D-8545-924E-9E29-33C2A683A3A6}"/>
    <dgm:cxn modelId="{BD07DE96-A19E-7743-8F6F-EC5D2CFE4CCE}" srcId="{A147ABA0-A463-ED4E-87DA-418D5D427B6F}" destId="{7A1007F9-37B6-4D4D-BE79-F0E3193970CD}" srcOrd="1" destOrd="0" parTransId="{A924D298-C080-F741-B7BD-0E30A86622A2}" sibTransId="{7720DABE-1FF0-CF48-9BF3-604AA7809591}"/>
    <dgm:cxn modelId="{76510FAF-5AD3-C34E-884A-A87F16ED8009}" type="presOf" srcId="{311D9389-0CD6-A045-8D11-DB6F0A80DA21}" destId="{12B56434-4F06-AB46-99D5-0AA9D2AA1FC9}" srcOrd="0" destOrd="0" presId="urn:microsoft.com/office/officeart/2005/8/layout/hChevron3"/>
    <dgm:cxn modelId="{E120BBB3-8185-8F49-A502-15A47D2D2E74}" type="presOf" srcId="{586F0193-45F9-CA44-B09A-A5E3701D16F3}" destId="{209BB323-6F20-A046-81FB-613289B74D8A}" srcOrd="0" destOrd="0" presId="urn:microsoft.com/office/officeart/2005/8/layout/hChevron3"/>
    <dgm:cxn modelId="{95CFB9EC-FAF1-BA48-A7BC-0FF82649C739}" type="presOf" srcId="{A147ABA0-A463-ED4E-87DA-418D5D427B6F}" destId="{E42AFA5B-AF6C-1145-9A40-89A19294AE0D}" srcOrd="0" destOrd="0" presId="urn:microsoft.com/office/officeart/2005/8/layout/hChevron3"/>
    <dgm:cxn modelId="{9E96681F-1F7E-C04A-9571-074B3EB27A84}" type="presParOf" srcId="{E42AFA5B-AF6C-1145-9A40-89A19294AE0D}" destId="{847FB920-D1E4-144E-A514-B5F7922F4C3F}" srcOrd="0" destOrd="0" presId="urn:microsoft.com/office/officeart/2005/8/layout/hChevron3"/>
    <dgm:cxn modelId="{A8F01484-E886-3749-B015-FD46A2B8690E}" type="presParOf" srcId="{E42AFA5B-AF6C-1145-9A40-89A19294AE0D}" destId="{9B77C36B-3993-A44C-908E-DCD048A74229}" srcOrd="1" destOrd="0" presId="urn:microsoft.com/office/officeart/2005/8/layout/hChevron3"/>
    <dgm:cxn modelId="{3F6E8188-1D44-894C-8378-104E66008B5F}" type="presParOf" srcId="{E42AFA5B-AF6C-1145-9A40-89A19294AE0D}" destId="{0DC50523-290F-F841-A5E3-7FE340BB7D2A}" srcOrd="2" destOrd="0" presId="urn:microsoft.com/office/officeart/2005/8/layout/hChevron3"/>
    <dgm:cxn modelId="{464F61DF-33A6-8248-B6B5-E6EE5086726E}" type="presParOf" srcId="{E42AFA5B-AF6C-1145-9A40-89A19294AE0D}" destId="{4F34FD83-C9CF-F444-9BFC-73A8ED6AF77F}" srcOrd="3" destOrd="0" presId="urn:microsoft.com/office/officeart/2005/8/layout/hChevron3"/>
    <dgm:cxn modelId="{A0C40264-0236-734E-A1A9-501DB3E665E2}" type="presParOf" srcId="{E42AFA5B-AF6C-1145-9A40-89A19294AE0D}" destId="{12B56434-4F06-AB46-99D5-0AA9D2AA1FC9}" srcOrd="4" destOrd="0" presId="urn:microsoft.com/office/officeart/2005/8/layout/hChevron3"/>
    <dgm:cxn modelId="{E26424EA-67C4-8E41-9A1A-D1682D532125}" type="presParOf" srcId="{E42AFA5B-AF6C-1145-9A40-89A19294AE0D}" destId="{DF3DF2FF-4BBE-C64B-8F43-1904405B4D41}" srcOrd="5" destOrd="0" presId="urn:microsoft.com/office/officeart/2005/8/layout/hChevron3"/>
    <dgm:cxn modelId="{AFB6C286-DEB1-8B46-B9A9-445E97580AC8}" type="presParOf" srcId="{E42AFA5B-AF6C-1145-9A40-89A19294AE0D}" destId="{209BB323-6F20-A046-81FB-613289B74D8A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7FB920-D1E4-144E-A514-B5F7922F4C3F}">
      <dsp:nvSpPr>
        <dsp:cNvPr id="0" name=""/>
        <dsp:cNvSpPr/>
      </dsp:nvSpPr>
      <dsp:spPr>
        <a:xfrm>
          <a:off x="1607" y="25980"/>
          <a:ext cx="1612701" cy="645080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Predlog poseljenih zemljišč in nepozidanih zemljišč</a:t>
          </a:r>
        </a:p>
      </dsp:txBody>
      <dsp:txXfrm>
        <a:off x="1607" y="25980"/>
        <a:ext cx="1451431" cy="645080"/>
      </dsp:txXfrm>
    </dsp:sp>
    <dsp:sp modelId="{0DC50523-290F-F841-A5E3-7FE340BB7D2A}">
      <dsp:nvSpPr>
        <dsp:cNvPr id="0" name=""/>
        <dsp:cNvSpPr/>
      </dsp:nvSpPr>
      <dsp:spPr>
        <a:xfrm>
          <a:off x="1291768" y="25980"/>
          <a:ext cx="1612701" cy="6450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Javna razgrnitev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(najmanj 30 dni)</a:t>
          </a:r>
        </a:p>
      </dsp:txBody>
      <dsp:txXfrm>
        <a:off x="1614308" y="25980"/>
        <a:ext cx="967621" cy="645080"/>
      </dsp:txXfrm>
    </dsp:sp>
    <dsp:sp modelId="{12B56434-4F06-AB46-99D5-0AA9D2AA1FC9}">
      <dsp:nvSpPr>
        <dsp:cNvPr id="0" name=""/>
        <dsp:cNvSpPr/>
      </dsp:nvSpPr>
      <dsp:spPr>
        <a:xfrm>
          <a:off x="2581929" y="25980"/>
          <a:ext cx="1612701" cy="6450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Priprava stališč do pripomb</a:t>
          </a:r>
        </a:p>
      </dsp:txBody>
      <dsp:txXfrm>
        <a:off x="2904469" y="25980"/>
        <a:ext cx="967621" cy="645080"/>
      </dsp:txXfrm>
    </dsp:sp>
    <dsp:sp modelId="{209BB323-6F20-A046-81FB-613289B74D8A}">
      <dsp:nvSpPr>
        <dsp:cNvPr id="0" name=""/>
        <dsp:cNvSpPr/>
      </dsp:nvSpPr>
      <dsp:spPr>
        <a:xfrm>
          <a:off x="3872091" y="25980"/>
          <a:ext cx="1612701" cy="6450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Vzpostavitev evidenece stavbnih zemljišč</a:t>
          </a:r>
        </a:p>
      </dsp:txBody>
      <dsp:txXfrm>
        <a:off x="4194631" y="25980"/>
        <a:ext cx="967621" cy="645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Mesner</dc:creator>
  <cp:keywords/>
  <dc:description/>
  <cp:lastModifiedBy>A</cp:lastModifiedBy>
  <cp:revision>48</cp:revision>
  <dcterms:created xsi:type="dcterms:W3CDTF">2024-10-13T21:47:00Z</dcterms:created>
  <dcterms:modified xsi:type="dcterms:W3CDTF">2026-01-21T08:15:00Z</dcterms:modified>
</cp:coreProperties>
</file>