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08" w:rsidRDefault="00C57D50" w:rsidP="001725F5">
      <w:pPr>
        <w:rPr>
          <w:b/>
        </w:rPr>
      </w:pPr>
      <w:r>
        <w:rPr>
          <w:noProof/>
          <w:lang w:eastAsia="sl-SI"/>
        </w:rPr>
        <w:drawing>
          <wp:inline distT="0" distB="0" distL="0" distR="0" wp14:anchorId="34362B2D" wp14:editId="1D23329E">
            <wp:extent cx="1219200" cy="323850"/>
            <wp:effectExtent l="0" t="0" r="0" b="0"/>
            <wp:docPr id="1" name="Slika 1" descr="AJPES-Logo-Outlook"/>
            <wp:cNvGraphicFramePr/>
            <a:graphic xmlns:a="http://schemas.openxmlformats.org/drawingml/2006/main">
              <a:graphicData uri="http://schemas.openxmlformats.org/drawingml/2006/picture">
                <pic:pic xmlns:pic="http://schemas.openxmlformats.org/drawingml/2006/picture">
                  <pic:nvPicPr>
                    <pic:cNvPr id="1" name="Slika 1" descr="AJPES-Logo-Outlook"/>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323850"/>
                    </a:xfrm>
                    <a:prstGeom prst="rect">
                      <a:avLst/>
                    </a:prstGeom>
                    <a:noFill/>
                    <a:ln>
                      <a:noFill/>
                    </a:ln>
                  </pic:spPr>
                </pic:pic>
              </a:graphicData>
            </a:graphic>
          </wp:inline>
        </w:drawing>
      </w:r>
      <w:r>
        <w:rPr>
          <w:b/>
        </w:rPr>
        <w:t xml:space="preserve">    </w:t>
      </w:r>
      <w:r>
        <w:rPr>
          <w:b/>
        </w:rPr>
        <w:tab/>
      </w:r>
      <w:r w:rsidRPr="00C57D50">
        <w:rPr>
          <w:b/>
          <w:sz w:val="44"/>
          <w:szCs w:val="44"/>
        </w:rPr>
        <w:t>Obvešča</w:t>
      </w:r>
    </w:p>
    <w:p w:rsidR="00020C34" w:rsidRDefault="00B65C3B" w:rsidP="00020C34">
      <w:pPr>
        <w:jc w:val="both"/>
        <w:rPr>
          <w:b/>
        </w:rPr>
      </w:pPr>
      <w:r>
        <w:rPr>
          <w:b/>
        </w:rPr>
        <w:pict>
          <v:rect id="_x0000_i1025" style="width:0;height:1.5pt" o:hralign="center" o:hrstd="t" o:hr="t" fillcolor="#a0a0a0" stroked="f"/>
        </w:pict>
      </w:r>
    </w:p>
    <w:p w:rsidR="00C57D50" w:rsidRDefault="00C57D50" w:rsidP="00020C34">
      <w:pPr>
        <w:jc w:val="both"/>
        <w:rPr>
          <w:b/>
        </w:rPr>
      </w:pPr>
    </w:p>
    <w:p w:rsidR="00A379E0" w:rsidRDefault="00A379E0" w:rsidP="00A379E0">
      <w:pPr>
        <w:jc w:val="both"/>
        <w:rPr>
          <w:b/>
        </w:rPr>
      </w:pPr>
      <w:r>
        <w:rPr>
          <w:noProof/>
          <w:lang w:eastAsia="sl-SI"/>
        </w:rPr>
        <w:drawing>
          <wp:inline distT="0" distB="0" distL="0" distR="0" wp14:anchorId="164D6FEC" wp14:editId="33CB6290">
            <wp:extent cx="400050" cy="476250"/>
            <wp:effectExtent l="0" t="0" r="0" b="0"/>
            <wp:docPr id="2" name="Slika 2" descr="rcioibtv.4ui.stat_inf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cioibtv.4ui.stat_inf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50" cy="476250"/>
                    </a:xfrm>
                    <a:prstGeom prst="rect">
                      <a:avLst/>
                    </a:prstGeom>
                    <a:noFill/>
                    <a:ln>
                      <a:noFill/>
                    </a:ln>
                  </pic:spPr>
                </pic:pic>
              </a:graphicData>
            </a:graphic>
          </wp:inline>
        </w:drawing>
      </w:r>
      <w:r>
        <w:rPr>
          <w:b/>
        </w:rPr>
        <w:t xml:space="preserve"> </w:t>
      </w:r>
      <w:r w:rsidRPr="00332623">
        <w:rPr>
          <w:b/>
        </w:rPr>
        <w:t xml:space="preserve">Občina </w:t>
      </w:r>
      <w:r w:rsidR="00DA1B3F">
        <w:rPr>
          <w:b/>
        </w:rPr>
        <w:t>Križevci</w:t>
      </w:r>
      <w:r>
        <w:rPr>
          <w:b/>
        </w:rPr>
        <w:t xml:space="preserve"> v številkah</w:t>
      </w:r>
      <w:r w:rsidRPr="00332623">
        <w:rPr>
          <w:b/>
        </w:rPr>
        <w:t>:</w:t>
      </w:r>
    </w:p>
    <w:p w:rsidR="00A379E0" w:rsidRDefault="00A379E0" w:rsidP="00A379E0">
      <w:pPr>
        <w:jc w:val="both"/>
        <w:rPr>
          <w:b/>
        </w:rPr>
      </w:pPr>
    </w:p>
    <w:p w:rsidR="00A379E0" w:rsidRDefault="00A379E0" w:rsidP="002A3F0F">
      <w:pPr>
        <w:ind w:left="709"/>
        <w:jc w:val="both"/>
      </w:pPr>
      <w:r>
        <w:t xml:space="preserve">Po podatkih Poslovnega registra Slovenije (stanje </w:t>
      </w:r>
      <w:r w:rsidR="00314E97">
        <w:t>28</w:t>
      </w:r>
      <w:r w:rsidRPr="009B6ACA">
        <w:t>.</w:t>
      </w:r>
      <w:r w:rsidR="00644AED">
        <w:t xml:space="preserve"> </w:t>
      </w:r>
      <w:r w:rsidRPr="009B6ACA">
        <w:t>11</w:t>
      </w:r>
      <w:r w:rsidR="004E791F" w:rsidRPr="009B6ACA">
        <w:t>.</w:t>
      </w:r>
      <w:r w:rsidR="00644AED">
        <w:t xml:space="preserve"> </w:t>
      </w:r>
      <w:r w:rsidR="004E791F" w:rsidRPr="009B6ACA">
        <w:t>20</w:t>
      </w:r>
      <w:r w:rsidR="00CC6300" w:rsidRPr="009B6ACA">
        <w:t>1</w:t>
      </w:r>
      <w:r w:rsidR="009D39FB" w:rsidRPr="009B6ACA">
        <w:t>6</w:t>
      </w:r>
      <w:r w:rsidR="00DA1B3F">
        <w:t xml:space="preserve">) je bilo v občini Križevci </w:t>
      </w:r>
      <w:r w:rsidRPr="009B6ACA">
        <w:t xml:space="preserve">registriranih </w:t>
      </w:r>
      <w:r w:rsidR="00DA1B3F">
        <w:t>273</w:t>
      </w:r>
      <w:r w:rsidRPr="009B6ACA">
        <w:t xml:space="preserve"> </w:t>
      </w:r>
      <w:r w:rsidR="00426981" w:rsidRPr="009B6ACA">
        <w:t>poslovnih subjektov</w:t>
      </w:r>
      <w:r w:rsidRPr="009B6ACA">
        <w:t>, od tega je bilo v obdobju januar – oktober 201</w:t>
      </w:r>
      <w:r w:rsidR="009B6ACA" w:rsidRPr="009B6ACA">
        <w:t>6</w:t>
      </w:r>
      <w:r w:rsidR="00F609CE" w:rsidRPr="009B6ACA">
        <w:t xml:space="preserve"> novoustanovljenih</w:t>
      </w:r>
      <w:r w:rsidRPr="009B6ACA">
        <w:t>:</w:t>
      </w:r>
    </w:p>
    <w:p w:rsidR="002A3F0F" w:rsidRPr="002A3F0F" w:rsidRDefault="002A3F0F" w:rsidP="002A3F0F">
      <w:pPr>
        <w:ind w:left="709"/>
        <w:jc w:val="both"/>
      </w:pPr>
    </w:p>
    <w:tbl>
      <w:tblPr>
        <w:tblW w:w="7000" w:type="dxa"/>
        <w:tblInd w:w="1416" w:type="dxa"/>
        <w:tblCellMar>
          <w:left w:w="70" w:type="dxa"/>
          <w:right w:w="70" w:type="dxa"/>
        </w:tblCellMar>
        <w:tblLook w:val="04A0" w:firstRow="1" w:lastRow="0" w:firstColumn="1" w:lastColumn="0" w:noHBand="0" w:noVBand="1"/>
      </w:tblPr>
      <w:tblGrid>
        <w:gridCol w:w="5080"/>
        <w:gridCol w:w="1920"/>
      </w:tblGrid>
      <w:tr w:rsidR="00DA1B3F" w:rsidRPr="00DA1B3F" w:rsidTr="00DA1B3F">
        <w:trPr>
          <w:trHeight w:val="300"/>
        </w:trPr>
        <w:tc>
          <w:tcPr>
            <w:tcW w:w="5080" w:type="dxa"/>
            <w:tcBorders>
              <w:top w:val="nil"/>
              <w:left w:val="nil"/>
              <w:bottom w:val="nil"/>
              <w:right w:val="nil"/>
            </w:tcBorders>
            <w:shd w:val="clear" w:color="auto" w:fill="auto"/>
            <w:noWrap/>
            <w:vAlign w:val="bottom"/>
          </w:tcPr>
          <w:p w:rsidR="00DA1B3F" w:rsidRPr="00DA1B3F" w:rsidRDefault="00DA1B3F" w:rsidP="00DA1B3F">
            <w:pPr>
              <w:ind w:firstLineChars="100" w:firstLine="220"/>
              <w:rPr>
                <w:rFonts w:eastAsia="Times New Roman" w:cs="Calibri"/>
                <w:color w:val="000000"/>
                <w:lang w:eastAsia="sl-SI"/>
              </w:rPr>
            </w:pPr>
            <w:r w:rsidRPr="00DA1B3F">
              <w:rPr>
                <w:rFonts w:eastAsia="Times New Roman" w:cs="Calibri"/>
                <w:color w:val="000000"/>
                <w:lang w:eastAsia="sl-SI"/>
              </w:rPr>
              <w:t>Društvo, zveza društev</w:t>
            </w:r>
          </w:p>
        </w:tc>
        <w:tc>
          <w:tcPr>
            <w:tcW w:w="1920" w:type="dxa"/>
            <w:tcBorders>
              <w:top w:val="nil"/>
              <w:left w:val="nil"/>
              <w:bottom w:val="nil"/>
              <w:right w:val="nil"/>
            </w:tcBorders>
            <w:shd w:val="clear" w:color="auto" w:fill="auto"/>
            <w:noWrap/>
            <w:vAlign w:val="bottom"/>
          </w:tcPr>
          <w:p w:rsidR="00DA1B3F" w:rsidRPr="00DA1B3F" w:rsidRDefault="00DA1B3F" w:rsidP="00DA1B3F">
            <w:pPr>
              <w:jc w:val="right"/>
              <w:rPr>
                <w:rFonts w:eastAsia="Times New Roman" w:cs="Calibri"/>
                <w:color w:val="000000"/>
                <w:lang w:eastAsia="sl-SI"/>
              </w:rPr>
            </w:pPr>
            <w:r w:rsidRPr="00DA1B3F">
              <w:rPr>
                <w:rFonts w:eastAsia="Times New Roman" w:cs="Calibri"/>
                <w:color w:val="000000"/>
                <w:lang w:eastAsia="sl-SI"/>
              </w:rPr>
              <w:t>3</w:t>
            </w:r>
          </w:p>
        </w:tc>
      </w:tr>
      <w:tr w:rsidR="00DA1B3F" w:rsidRPr="00DA1B3F" w:rsidTr="00DA1B3F">
        <w:trPr>
          <w:trHeight w:val="300"/>
        </w:trPr>
        <w:tc>
          <w:tcPr>
            <w:tcW w:w="5080" w:type="dxa"/>
            <w:tcBorders>
              <w:top w:val="nil"/>
              <w:left w:val="nil"/>
              <w:bottom w:val="nil"/>
              <w:right w:val="nil"/>
            </w:tcBorders>
            <w:shd w:val="clear" w:color="auto" w:fill="auto"/>
            <w:noWrap/>
            <w:vAlign w:val="bottom"/>
          </w:tcPr>
          <w:p w:rsidR="00DA1B3F" w:rsidRPr="00DA1B3F" w:rsidRDefault="00DA1B3F" w:rsidP="00DA1B3F">
            <w:pPr>
              <w:ind w:firstLineChars="100" w:firstLine="220"/>
              <w:rPr>
                <w:rFonts w:eastAsia="Times New Roman" w:cs="Calibri"/>
                <w:color w:val="000000"/>
                <w:lang w:eastAsia="sl-SI"/>
              </w:rPr>
            </w:pPr>
            <w:r w:rsidRPr="00DA1B3F">
              <w:rPr>
                <w:rFonts w:eastAsia="Times New Roman" w:cs="Calibri"/>
                <w:color w:val="000000"/>
                <w:lang w:eastAsia="sl-SI"/>
              </w:rPr>
              <w:t>Nosilec dopolnilne dejavnosti na kmetiji</w:t>
            </w:r>
          </w:p>
        </w:tc>
        <w:tc>
          <w:tcPr>
            <w:tcW w:w="1920" w:type="dxa"/>
            <w:tcBorders>
              <w:top w:val="nil"/>
              <w:left w:val="nil"/>
              <w:bottom w:val="nil"/>
              <w:right w:val="nil"/>
            </w:tcBorders>
            <w:shd w:val="clear" w:color="auto" w:fill="auto"/>
            <w:noWrap/>
            <w:vAlign w:val="bottom"/>
          </w:tcPr>
          <w:p w:rsidR="00DA1B3F" w:rsidRPr="00DA1B3F" w:rsidRDefault="00DA1B3F" w:rsidP="00DA1B3F">
            <w:pPr>
              <w:jc w:val="right"/>
              <w:rPr>
                <w:rFonts w:eastAsia="Times New Roman" w:cs="Calibri"/>
                <w:color w:val="000000"/>
                <w:lang w:eastAsia="sl-SI"/>
              </w:rPr>
            </w:pPr>
            <w:r w:rsidRPr="00DA1B3F">
              <w:rPr>
                <w:rFonts w:eastAsia="Times New Roman" w:cs="Calibri"/>
                <w:color w:val="000000"/>
                <w:lang w:eastAsia="sl-SI"/>
              </w:rPr>
              <w:t>4</w:t>
            </w:r>
          </w:p>
        </w:tc>
      </w:tr>
      <w:tr w:rsidR="00DA1B3F" w:rsidRPr="00DA1B3F" w:rsidTr="00DA1B3F">
        <w:trPr>
          <w:trHeight w:val="300"/>
        </w:trPr>
        <w:tc>
          <w:tcPr>
            <w:tcW w:w="5080" w:type="dxa"/>
            <w:tcBorders>
              <w:top w:val="nil"/>
              <w:left w:val="nil"/>
              <w:bottom w:val="nil"/>
              <w:right w:val="nil"/>
            </w:tcBorders>
            <w:shd w:val="clear" w:color="auto" w:fill="auto"/>
            <w:noWrap/>
            <w:vAlign w:val="bottom"/>
          </w:tcPr>
          <w:p w:rsidR="00DA1B3F" w:rsidRPr="00DA1B3F" w:rsidRDefault="00DA1B3F" w:rsidP="00DA1B3F">
            <w:pPr>
              <w:ind w:firstLineChars="100" w:firstLine="220"/>
              <w:rPr>
                <w:rFonts w:eastAsia="Times New Roman" w:cs="Calibri"/>
                <w:color w:val="000000"/>
                <w:lang w:eastAsia="sl-SI"/>
              </w:rPr>
            </w:pPr>
            <w:r w:rsidRPr="00DA1B3F">
              <w:rPr>
                <w:rFonts w:eastAsia="Times New Roman" w:cs="Calibri"/>
                <w:color w:val="000000"/>
                <w:lang w:eastAsia="sl-SI"/>
              </w:rPr>
              <w:t>Podružnica s. p.</w:t>
            </w:r>
          </w:p>
        </w:tc>
        <w:tc>
          <w:tcPr>
            <w:tcW w:w="1920" w:type="dxa"/>
            <w:tcBorders>
              <w:top w:val="nil"/>
              <w:left w:val="nil"/>
              <w:bottom w:val="nil"/>
              <w:right w:val="nil"/>
            </w:tcBorders>
            <w:shd w:val="clear" w:color="auto" w:fill="auto"/>
            <w:noWrap/>
            <w:vAlign w:val="bottom"/>
          </w:tcPr>
          <w:p w:rsidR="00DA1B3F" w:rsidRPr="00DA1B3F" w:rsidRDefault="00DA1B3F" w:rsidP="00DA1B3F">
            <w:pPr>
              <w:jc w:val="right"/>
              <w:rPr>
                <w:rFonts w:eastAsia="Times New Roman" w:cs="Calibri"/>
                <w:color w:val="000000"/>
                <w:lang w:eastAsia="sl-SI"/>
              </w:rPr>
            </w:pPr>
            <w:r w:rsidRPr="00DA1B3F">
              <w:rPr>
                <w:rFonts w:eastAsia="Times New Roman" w:cs="Calibri"/>
                <w:color w:val="000000"/>
                <w:lang w:eastAsia="sl-SI"/>
              </w:rPr>
              <w:t>1</w:t>
            </w:r>
          </w:p>
        </w:tc>
      </w:tr>
      <w:tr w:rsidR="00DA1B3F" w:rsidRPr="00DA1B3F" w:rsidTr="00DA1B3F">
        <w:trPr>
          <w:trHeight w:val="300"/>
        </w:trPr>
        <w:tc>
          <w:tcPr>
            <w:tcW w:w="5080" w:type="dxa"/>
            <w:tcBorders>
              <w:top w:val="nil"/>
              <w:left w:val="nil"/>
              <w:bottom w:val="nil"/>
              <w:right w:val="nil"/>
            </w:tcBorders>
            <w:shd w:val="clear" w:color="auto" w:fill="auto"/>
            <w:noWrap/>
            <w:vAlign w:val="bottom"/>
          </w:tcPr>
          <w:p w:rsidR="00DA1B3F" w:rsidRPr="00DA1B3F" w:rsidRDefault="00DA1B3F" w:rsidP="00DA1B3F">
            <w:pPr>
              <w:ind w:firstLineChars="100" w:firstLine="220"/>
              <w:rPr>
                <w:rFonts w:eastAsia="Times New Roman" w:cs="Calibri"/>
                <w:color w:val="000000"/>
                <w:lang w:eastAsia="sl-SI"/>
              </w:rPr>
            </w:pPr>
            <w:r w:rsidRPr="00DA1B3F">
              <w:rPr>
                <w:rFonts w:eastAsia="Times New Roman" w:cs="Calibri"/>
                <w:color w:val="000000"/>
                <w:lang w:eastAsia="sl-SI"/>
              </w:rPr>
              <w:t>Poslovna enota</w:t>
            </w:r>
          </w:p>
        </w:tc>
        <w:tc>
          <w:tcPr>
            <w:tcW w:w="1920" w:type="dxa"/>
            <w:tcBorders>
              <w:top w:val="nil"/>
              <w:left w:val="nil"/>
              <w:bottom w:val="nil"/>
              <w:right w:val="nil"/>
            </w:tcBorders>
            <w:shd w:val="clear" w:color="auto" w:fill="auto"/>
            <w:noWrap/>
            <w:vAlign w:val="bottom"/>
          </w:tcPr>
          <w:p w:rsidR="00DA1B3F" w:rsidRPr="00DA1B3F" w:rsidRDefault="00DA1B3F" w:rsidP="00DA1B3F">
            <w:pPr>
              <w:jc w:val="right"/>
              <w:rPr>
                <w:rFonts w:eastAsia="Times New Roman" w:cs="Calibri"/>
                <w:color w:val="000000"/>
                <w:lang w:eastAsia="sl-SI"/>
              </w:rPr>
            </w:pPr>
            <w:r w:rsidRPr="00DA1B3F">
              <w:rPr>
                <w:rFonts w:eastAsia="Times New Roman" w:cs="Calibri"/>
                <w:color w:val="000000"/>
                <w:lang w:eastAsia="sl-SI"/>
              </w:rPr>
              <w:t>1</w:t>
            </w:r>
          </w:p>
        </w:tc>
      </w:tr>
      <w:tr w:rsidR="00DA1B3F" w:rsidRPr="00DA1B3F" w:rsidTr="00DA1B3F">
        <w:trPr>
          <w:trHeight w:val="300"/>
        </w:trPr>
        <w:tc>
          <w:tcPr>
            <w:tcW w:w="5080" w:type="dxa"/>
            <w:tcBorders>
              <w:top w:val="nil"/>
              <w:left w:val="nil"/>
              <w:bottom w:val="nil"/>
              <w:right w:val="nil"/>
            </w:tcBorders>
            <w:shd w:val="clear" w:color="auto" w:fill="auto"/>
            <w:noWrap/>
            <w:vAlign w:val="bottom"/>
          </w:tcPr>
          <w:p w:rsidR="00DA1B3F" w:rsidRPr="00DA1B3F" w:rsidRDefault="00DA1B3F" w:rsidP="00DA1B3F">
            <w:pPr>
              <w:ind w:firstLineChars="100" w:firstLine="220"/>
              <w:rPr>
                <w:rFonts w:eastAsia="Times New Roman" w:cs="Calibri"/>
                <w:color w:val="000000"/>
                <w:lang w:eastAsia="sl-SI"/>
              </w:rPr>
            </w:pPr>
            <w:r w:rsidRPr="00DA1B3F">
              <w:rPr>
                <w:rFonts w:eastAsia="Times New Roman" w:cs="Calibri"/>
                <w:color w:val="000000"/>
                <w:lang w:eastAsia="sl-SI"/>
              </w:rPr>
              <w:t>Samostojni podjetnik posameznik s.p.</w:t>
            </w:r>
          </w:p>
        </w:tc>
        <w:tc>
          <w:tcPr>
            <w:tcW w:w="1920" w:type="dxa"/>
            <w:tcBorders>
              <w:top w:val="nil"/>
              <w:left w:val="nil"/>
              <w:bottom w:val="nil"/>
              <w:right w:val="nil"/>
            </w:tcBorders>
            <w:shd w:val="clear" w:color="auto" w:fill="auto"/>
            <w:noWrap/>
            <w:vAlign w:val="bottom"/>
          </w:tcPr>
          <w:p w:rsidR="00DA1B3F" w:rsidRPr="00DA1B3F" w:rsidRDefault="00DA1B3F" w:rsidP="00DA1B3F">
            <w:pPr>
              <w:jc w:val="right"/>
              <w:rPr>
                <w:rFonts w:eastAsia="Times New Roman" w:cs="Calibri"/>
                <w:color w:val="000000"/>
                <w:lang w:eastAsia="sl-SI"/>
              </w:rPr>
            </w:pPr>
            <w:r w:rsidRPr="00DA1B3F">
              <w:rPr>
                <w:rFonts w:eastAsia="Times New Roman" w:cs="Calibri"/>
                <w:color w:val="000000"/>
                <w:lang w:eastAsia="sl-SI"/>
              </w:rPr>
              <w:t>4</w:t>
            </w:r>
          </w:p>
        </w:tc>
      </w:tr>
    </w:tbl>
    <w:p w:rsidR="00426981" w:rsidRDefault="00426981" w:rsidP="00426981">
      <w:pPr>
        <w:jc w:val="both"/>
      </w:pPr>
    </w:p>
    <w:p w:rsidR="00856292" w:rsidRDefault="00DA1B3F" w:rsidP="00EA6CDF">
      <w:pPr>
        <w:ind w:left="705"/>
        <w:jc w:val="both"/>
        <w:rPr>
          <w:noProof/>
          <w:lang w:eastAsia="sl-SI"/>
        </w:rPr>
      </w:pPr>
      <w:r>
        <w:rPr>
          <w:noProof/>
          <w:lang w:eastAsia="sl-SI"/>
        </w:rPr>
        <w:tab/>
        <w:t>V občini deluje 5</w:t>
      </w:r>
      <w:r w:rsidR="009B7DF3">
        <w:rPr>
          <w:noProof/>
          <w:lang w:eastAsia="sl-SI"/>
        </w:rPr>
        <w:t xml:space="preserve"> </w:t>
      </w:r>
      <w:r>
        <w:rPr>
          <w:noProof/>
          <w:lang w:eastAsia="sl-SI"/>
        </w:rPr>
        <w:t>gospodarskih</w:t>
      </w:r>
      <w:r w:rsidR="00314E97">
        <w:rPr>
          <w:noProof/>
          <w:lang w:eastAsia="sl-SI"/>
        </w:rPr>
        <w:t xml:space="preserve"> družb</w:t>
      </w:r>
      <w:r w:rsidR="00426981">
        <w:rPr>
          <w:noProof/>
          <w:lang w:eastAsia="sl-SI"/>
        </w:rPr>
        <w:t>, ki se na podlagi podatkov iz letnih poročil v obdobju</w:t>
      </w:r>
      <w:r w:rsidR="00F609CE">
        <w:rPr>
          <w:noProof/>
          <w:lang w:eastAsia="sl-SI"/>
        </w:rPr>
        <w:t xml:space="preserve"> 201</w:t>
      </w:r>
      <w:r w:rsidR="00DA6C2F">
        <w:rPr>
          <w:noProof/>
          <w:lang w:eastAsia="sl-SI"/>
        </w:rPr>
        <w:t>1</w:t>
      </w:r>
      <w:r w:rsidR="00F609CE">
        <w:rPr>
          <w:noProof/>
          <w:lang w:eastAsia="sl-SI"/>
        </w:rPr>
        <w:t>-201</w:t>
      </w:r>
      <w:r w:rsidR="009B6ACA">
        <w:rPr>
          <w:noProof/>
          <w:lang w:eastAsia="sl-SI"/>
        </w:rPr>
        <w:t>5</w:t>
      </w:r>
      <w:r w:rsidR="00F609CE">
        <w:rPr>
          <w:noProof/>
          <w:lang w:eastAsia="sl-SI"/>
        </w:rPr>
        <w:t xml:space="preserve"> </w:t>
      </w:r>
      <w:r w:rsidR="00314E97">
        <w:rPr>
          <w:noProof/>
          <w:lang w:eastAsia="sl-SI"/>
        </w:rPr>
        <w:t>štejejo</w:t>
      </w:r>
      <w:r w:rsidR="00426981">
        <w:rPr>
          <w:noProof/>
          <w:lang w:eastAsia="sl-SI"/>
        </w:rPr>
        <w:t xml:space="preserve"> med hitro rastoča podjetja</w:t>
      </w:r>
      <w:r w:rsidR="006253AD">
        <w:rPr>
          <w:noProof/>
          <w:lang w:eastAsia="sl-SI"/>
        </w:rPr>
        <w:t xml:space="preserve"> (HRP)</w:t>
      </w:r>
      <w:r w:rsidR="00644AED">
        <w:rPr>
          <w:noProof/>
          <w:lang w:eastAsia="sl-SI"/>
        </w:rPr>
        <w:t>:</w:t>
      </w:r>
    </w:p>
    <w:p w:rsidR="00EA6CDF" w:rsidRDefault="00EA6CDF" w:rsidP="00EA6CDF">
      <w:pPr>
        <w:pStyle w:val="Odstavekseznama"/>
        <w:ind w:left="1425"/>
        <w:jc w:val="both"/>
        <w:rPr>
          <w:noProof/>
          <w:lang w:eastAsia="sl-SI"/>
        </w:rPr>
      </w:pPr>
    </w:p>
    <w:p w:rsidR="00A379E0" w:rsidRDefault="00DA1B3F" w:rsidP="00426981">
      <w:pPr>
        <w:ind w:left="708"/>
        <w:jc w:val="both"/>
        <w:rPr>
          <w:b/>
        </w:rPr>
      </w:pPr>
      <w:r w:rsidRPr="00DA1B3F">
        <w:rPr>
          <w:noProof/>
          <w:lang w:eastAsia="sl-SI"/>
        </w:rPr>
        <w:drawing>
          <wp:inline distT="0" distB="0" distL="0" distR="0">
            <wp:extent cx="3657600" cy="13430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1343025"/>
                    </a:xfrm>
                    <a:prstGeom prst="rect">
                      <a:avLst/>
                    </a:prstGeom>
                    <a:noFill/>
                    <a:ln>
                      <a:noFill/>
                    </a:ln>
                  </pic:spPr>
                </pic:pic>
              </a:graphicData>
            </a:graphic>
          </wp:inline>
        </w:drawing>
      </w:r>
      <w:bookmarkStart w:id="0" w:name="_GoBack"/>
      <w:bookmarkEnd w:id="0"/>
    </w:p>
    <w:p w:rsidR="00F609CE" w:rsidRDefault="00F609CE" w:rsidP="001725F5">
      <w:pPr>
        <w:jc w:val="both"/>
        <w:rPr>
          <w:b/>
        </w:rPr>
      </w:pPr>
    </w:p>
    <w:p w:rsidR="00F609CE" w:rsidRDefault="00644AED" w:rsidP="00644AED">
      <w:pPr>
        <w:ind w:left="709"/>
        <w:jc w:val="both"/>
        <w:rPr>
          <w:noProof/>
          <w:lang w:eastAsia="sl-SI"/>
        </w:rPr>
      </w:pPr>
      <w:r>
        <w:rPr>
          <w:noProof/>
          <w:lang w:eastAsia="sl-SI"/>
        </w:rPr>
        <w:t>Več o HRP in kriterijih za uvrstitev na seznam lahko preverite na spletni strani AJPES (</w:t>
      </w:r>
      <w:hyperlink r:id="rId8" w:history="1">
        <w:r w:rsidRPr="00F05F4F">
          <w:rPr>
            <w:rStyle w:val="Hiperpovezava"/>
            <w:noProof/>
            <w:lang w:eastAsia="sl-SI"/>
          </w:rPr>
          <w:t>www.ajpes.si</w:t>
        </w:r>
      </w:hyperlink>
      <w:r>
        <w:rPr>
          <w:noProof/>
          <w:lang w:eastAsia="sl-SI"/>
        </w:rPr>
        <w:t>).</w:t>
      </w:r>
    </w:p>
    <w:p w:rsidR="00644AED" w:rsidRDefault="00644AED" w:rsidP="00644AED">
      <w:pPr>
        <w:ind w:left="709"/>
        <w:jc w:val="both"/>
        <w:rPr>
          <w:b/>
        </w:rPr>
      </w:pPr>
    </w:p>
    <w:p w:rsidR="00644AED" w:rsidRDefault="00644AED" w:rsidP="00644AED">
      <w:pPr>
        <w:ind w:left="709"/>
        <w:jc w:val="both"/>
        <w:rPr>
          <w:b/>
        </w:rPr>
      </w:pPr>
    </w:p>
    <w:p w:rsidR="00A6172D" w:rsidRDefault="000F29A5" w:rsidP="00644AED">
      <w:pPr>
        <w:jc w:val="both"/>
        <w:rPr>
          <w:b/>
        </w:rPr>
      </w:pPr>
      <w:r>
        <w:rPr>
          <w:b/>
        </w:rPr>
        <w:t>Letna poročila</w:t>
      </w:r>
    </w:p>
    <w:p w:rsidR="00943AF3" w:rsidRDefault="00943AF3" w:rsidP="00387304">
      <w:pPr>
        <w:ind w:left="708"/>
        <w:jc w:val="both"/>
      </w:pPr>
    </w:p>
    <w:p w:rsidR="00943AF3" w:rsidRDefault="00943AF3" w:rsidP="00943AF3">
      <w:pPr>
        <w:ind w:left="708"/>
        <w:jc w:val="both"/>
      </w:pPr>
      <w:r>
        <w:t xml:space="preserve">AJPES svetuje vsem zavezancem za predložitev letnih poročil za leto 2016, da si v sistemu Pooblastil AJPES pravočasno uredijo pravice za njihovo predložitev. Predložitev letnega poročila lahko potrdite s kvalificiranim digitalnim potrdilom (KDP) ali z Obvestilom za AJPES. Tudi poslovni subjekti, ki v letu 2016 niste poslovali in hkrati ne izkazujete nobenega podatka v letnem poročilu, ga morate kljub temu predložiti AJPES. </w:t>
      </w:r>
    </w:p>
    <w:p w:rsidR="00644AED" w:rsidRDefault="00644AED" w:rsidP="00A6172D">
      <w:pPr>
        <w:jc w:val="both"/>
      </w:pPr>
    </w:p>
    <w:p w:rsidR="00DA1B3F" w:rsidRDefault="00DA1B3F" w:rsidP="00A6172D">
      <w:pPr>
        <w:jc w:val="both"/>
        <w:rPr>
          <w:b/>
        </w:rPr>
      </w:pPr>
    </w:p>
    <w:p w:rsidR="00A6172D" w:rsidRDefault="00BC1361" w:rsidP="00644AED">
      <w:pPr>
        <w:jc w:val="both"/>
      </w:pPr>
      <w:r>
        <w:rPr>
          <w:b/>
        </w:rPr>
        <w:t>Poravnajte svoj obveznosti v enem paketu na enem mestu in v enem dnevu</w:t>
      </w:r>
    </w:p>
    <w:p w:rsidR="00A6172D" w:rsidRDefault="00A6172D" w:rsidP="00A6172D">
      <w:pPr>
        <w:jc w:val="both"/>
      </w:pPr>
    </w:p>
    <w:p w:rsidR="00A6172D" w:rsidRDefault="00BC1361" w:rsidP="00BC1361">
      <w:pPr>
        <w:ind w:left="720"/>
        <w:jc w:val="both"/>
      </w:pPr>
      <w:r>
        <w:t>Imate neporavnane obveznosti do dobaviteljev? So stroški bančnih provizij previsoki? So postopki pri izterjavi predolgi in zamudni?</w:t>
      </w:r>
      <w:r w:rsidR="00480847">
        <w:t xml:space="preserve"> AJPES svetuje, da v tem primeru zmanjšate svoje obveznosti z vključitvijo v večstranski </w:t>
      </w:r>
      <w:proofErr w:type="spellStart"/>
      <w:r w:rsidR="00480847">
        <w:t>ePOBOT</w:t>
      </w:r>
      <w:proofErr w:type="spellEnd"/>
      <w:r w:rsidR="00480847">
        <w:t xml:space="preserve">. </w:t>
      </w:r>
      <w:r>
        <w:t xml:space="preserve">Prijavite zapadle obveznosti v </w:t>
      </w:r>
      <w:r w:rsidRPr="00BC1361">
        <w:rPr>
          <w:b/>
        </w:rPr>
        <w:t>obvezni pobot</w:t>
      </w:r>
      <w:r>
        <w:t xml:space="preserve">, z vključitvijo v </w:t>
      </w:r>
      <w:r w:rsidRPr="00BC1361">
        <w:rPr>
          <w:b/>
        </w:rPr>
        <w:t>prostovoljni pobot</w:t>
      </w:r>
      <w:r>
        <w:t xml:space="preserve"> pa lahko dodatno pobotate </w:t>
      </w:r>
      <w:r w:rsidRPr="00BC1361">
        <w:t>nedospele denarne obveznosti, če se upnik in dolžnik o tem pisno</w:t>
      </w:r>
      <w:r>
        <w:t xml:space="preserve"> dogovorita (18. člen ZPreZP-1)</w:t>
      </w:r>
      <w:r w:rsidRPr="00BC1361">
        <w:t>in</w:t>
      </w:r>
      <w:r>
        <w:t xml:space="preserve"> </w:t>
      </w:r>
      <w:r w:rsidRPr="00BC1361">
        <w:t xml:space="preserve">dospele denarne </w:t>
      </w:r>
      <w:r w:rsidRPr="00BC1361">
        <w:lastRenderedPageBreak/>
        <w:t>obveznosti, ki se niso pobotale v obveznem pobotu in niso bile plačane z denarjem</w:t>
      </w:r>
      <w:r>
        <w:t xml:space="preserve">. </w:t>
      </w:r>
      <w:r w:rsidR="00F15717">
        <w:t xml:space="preserve">Pobot se izvaja enkrat mesečno. </w:t>
      </w:r>
      <w:r w:rsidR="00480847">
        <w:t xml:space="preserve"> </w:t>
      </w:r>
    </w:p>
    <w:p w:rsidR="00943AF3" w:rsidRDefault="00943AF3" w:rsidP="00943AF3">
      <w:pPr>
        <w:spacing w:after="200" w:line="276" w:lineRule="auto"/>
        <w:rPr>
          <w:b/>
        </w:rPr>
      </w:pPr>
    </w:p>
    <w:p w:rsidR="00F15717" w:rsidRDefault="00387304" w:rsidP="00644AED">
      <w:pPr>
        <w:spacing w:after="200" w:line="276" w:lineRule="auto"/>
        <w:rPr>
          <w:b/>
        </w:rPr>
      </w:pPr>
      <w:r>
        <w:rPr>
          <w:b/>
        </w:rPr>
        <w:t>Preverite ali je vozilo, ki ga kupujete morda zastavljeno ali zarubljeno</w:t>
      </w:r>
    </w:p>
    <w:p w:rsidR="00F15717" w:rsidRDefault="00F609CE" w:rsidP="00F15717">
      <w:pPr>
        <w:ind w:left="705"/>
        <w:jc w:val="both"/>
      </w:pPr>
      <w:r>
        <w:t xml:space="preserve">Če </w:t>
      </w:r>
      <w:r w:rsidR="00840C8C">
        <w:t xml:space="preserve">nameravate kupiti rabljeno vozilo, vam AJPES svetuje, da se z vpogledom v aplikacijo </w:t>
      </w:r>
      <w:proofErr w:type="spellStart"/>
      <w:r w:rsidR="00840C8C">
        <w:t>eRZPP</w:t>
      </w:r>
      <w:proofErr w:type="spellEnd"/>
      <w:r w:rsidR="00840C8C">
        <w:t xml:space="preserve"> na spletu prepričate ali je vozilo res bremena prosto. </w:t>
      </w:r>
      <w:r w:rsidR="00594B78">
        <w:t xml:space="preserve">Od 30.6.2016 je mogoče iskanje </w:t>
      </w:r>
      <w:proofErr w:type="spellStart"/>
      <w:r w:rsidR="00594B78">
        <w:t>neposestnih</w:t>
      </w:r>
      <w:proofErr w:type="spellEnd"/>
      <w:r w:rsidR="00594B78">
        <w:t xml:space="preserve"> zastavnih pravic na premičninah tudi po dolžnikih oz. zastaviteljih, ki so poslovni subjekti. S tem je omogočeno iskanje uporabnikom, ki ne razpolagajo s podatkom o identifikacijski številki premičnine, s čimer se zagotavlja višja stopnja varnosti v pravnem prometu. </w:t>
      </w:r>
      <w:r w:rsidR="00840C8C" w:rsidRPr="00840C8C">
        <w:t>Vpogled v podatke RZPP na spletu je brezplačen</w:t>
      </w:r>
      <w:r w:rsidR="00840C8C">
        <w:t xml:space="preserve">. V register se poleg zastavljenih in zarubljenih avtomobilov in drugih motornih vozil vpisujejo še zaloge, oprema in živali. </w:t>
      </w:r>
    </w:p>
    <w:p w:rsidR="00A6195D" w:rsidRDefault="00A6195D" w:rsidP="00F15717">
      <w:pPr>
        <w:ind w:left="705"/>
        <w:jc w:val="both"/>
      </w:pPr>
    </w:p>
    <w:p w:rsidR="00A6195D" w:rsidRPr="00A6195D" w:rsidRDefault="00A6195D" w:rsidP="00644AED">
      <w:pPr>
        <w:jc w:val="both"/>
        <w:rPr>
          <w:b/>
        </w:rPr>
      </w:pPr>
      <w:r w:rsidRPr="00A6195D">
        <w:rPr>
          <w:b/>
        </w:rPr>
        <w:t xml:space="preserve">Kako izbrati ime podjetja? </w:t>
      </w:r>
    </w:p>
    <w:p w:rsidR="00A6195D" w:rsidRDefault="00A6195D" w:rsidP="00F15717">
      <w:pPr>
        <w:ind w:left="705"/>
        <w:jc w:val="both"/>
      </w:pPr>
    </w:p>
    <w:p w:rsidR="00A6195D" w:rsidRPr="00A6195D" w:rsidRDefault="00A6195D" w:rsidP="00644AED">
      <w:pPr>
        <w:pStyle w:val="Default"/>
        <w:ind w:left="705"/>
        <w:jc w:val="both"/>
        <w:rPr>
          <w:rFonts w:asciiTheme="minorHAnsi" w:hAnsiTheme="minorHAnsi"/>
          <w:b/>
          <w:sz w:val="22"/>
          <w:szCs w:val="22"/>
        </w:rPr>
      </w:pPr>
      <w:r w:rsidRPr="004510D0">
        <w:rPr>
          <w:rFonts w:asciiTheme="minorHAnsi" w:hAnsiTheme="minorHAnsi"/>
          <w:color w:val="auto"/>
          <w:sz w:val="22"/>
          <w:szCs w:val="22"/>
        </w:rPr>
        <w:t xml:space="preserve">Pri registraciji podjetja je potrebno posebno pozornost posvetiti izbiri imena (firme). Firma podjetja mora vsebovati označbo, ki nakazuje na njeno dejavnost, organizacijsko obliko (d.o.o., d.d. ipd.) ter ime, po katerem se razlikuje od drugih podjetij. Ali ime, ki ste ga izbrali, že obstaja, lahko preverite v aplikaciji </w:t>
      </w:r>
      <w:proofErr w:type="spellStart"/>
      <w:r>
        <w:rPr>
          <w:rFonts w:asciiTheme="minorHAnsi" w:hAnsiTheme="minorHAnsi"/>
          <w:color w:val="auto"/>
          <w:sz w:val="22"/>
          <w:szCs w:val="22"/>
        </w:rPr>
        <w:t>ePRS</w:t>
      </w:r>
      <w:proofErr w:type="spellEnd"/>
      <w:r>
        <w:rPr>
          <w:rFonts w:asciiTheme="minorHAnsi" w:hAnsiTheme="minorHAnsi"/>
          <w:color w:val="auto"/>
          <w:sz w:val="22"/>
          <w:szCs w:val="22"/>
        </w:rPr>
        <w:t xml:space="preserve"> -K</w:t>
      </w:r>
      <w:r>
        <w:rPr>
          <w:rFonts w:asciiTheme="minorHAnsi" w:hAnsiTheme="minorHAnsi"/>
          <w:sz w:val="22"/>
          <w:szCs w:val="22"/>
        </w:rPr>
        <w:t>ontrola</w:t>
      </w:r>
      <w:r w:rsidRPr="00A6195D">
        <w:rPr>
          <w:rFonts w:asciiTheme="minorHAnsi" w:hAnsiTheme="minorHAnsi"/>
          <w:sz w:val="22"/>
          <w:szCs w:val="22"/>
        </w:rPr>
        <w:t xml:space="preserve"> fantazijskega imena </w:t>
      </w:r>
      <w:r>
        <w:rPr>
          <w:rFonts w:asciiTheme="minorHAnsi" w:hAnsiTheme="minorHAnsi"/>
          <w:sz w:val="22"/>
          <w:szCs w:val="22"/>
        </w:rPr>
        <w:t>firme.</w:t>
      </w:r>
    </w:p>
    <w:p w:rsidR="001C2BCE" w:rsidRDefault="001C2BCE" w:rsidP="00935F43">
      <w:pPr>
        <w:jc w:val="both"/>
      </w:pPr>
    </w:p>
    <w:p w:rsidR="001C2BCE" w:rsidRDefault="001C2BCE" w:rsidP="00935F43">
      <w:pPr>
        <w:jc w:val="both"/>
      </w:pPr>
    </w:p>
    <w:p w:rsidR="001C2BCE" w:rsidRDefault="00387304" w:rsidP="00935F43">
      <w:pPr>
        <w:jc w:val="both"/>
        <w:rPr>
          <w:b/>
        </w:rPr>
      </w:pPr>
      <w:r>
        <w:rPr>
          <w:b/>
        </w:rPr>
        <w:t>Ne pozabite</w:t>
      </w:r>
    </w:p>
    <w:p w:rsidR="00820A51" w:rsidRPr="00820A51" w:rsidRDefault="00820A51" w:rsidP="00820A51">
      <w:pPr>
        <w:jc w:val="both"/>
        <w:rPr>
          <w:b/>
        </w:rPr>
      </w:pPr>
    </w:p>
    <w:p w:rsidR="00820A51" w:rsidRPr="00820A51" w:rsidRDefault="00820A51" w:rsidP="00820A51">
      <w:pPr>
        <w:ind w:firstLine="708"/>
        <w:jc w:val="both"/>
        <w:rPr>
          <w:b/>
        </w:rPr>
      </w:pPr>
      <w:r w:rsidRPr="00820A51">
        <w:rPr>
          <w:b/>
        </w:rPr>
        <w:t>1</w:t>
      </w:r>
      <w:r w:rsidR="00C82EB5">
        <w:rPr>
          <w:b/>
        </w:rPr>
        <w:t>5</w:t>
      </w:r>
      <w:r w:rsidRPr="00820A51">
        <w:rPr>
          <w:b/>
        </w:rPr>
        <w:t>.</w:t>
      </w:r>
      <w:r>
        <w:rPr>
          <w:b/>
        </w:rPr>
        <w:t>12</w:t>
      </w:r>
      <w:r w:rsidRPr="00820A51">
        <w:rPr>
          <w:b/>
        </w:rPr>
        <w:t>.201</w:t>
      </w:r>
      <w:r w:rsidR="00C82EB5">
        <w:rPr>
          <w:b/>
        </w:rPr>
        <w:t>6</w:t>
      </w:r>
      <w:r w:rsidRPr="00820A51">
        <w:rPr>
          <w:b/>
        </w:rPr>
        <w:t xml:space="preserve">: </w:t>
      </w:r>
      <w:r w:rsidRPr="00820A51">
        <w:t>Pričetek sprejemanja prijav za pobote</w:t>
      </w:r>
    </w:p>
    <w:p w:rsidR="00820A51" w:rsidRPr="00820A51" w:rsidRDefault="00820A51" w:rsidP="00820A51">
      <w:pPr>
        <w:ind w:firstLine="708"/>
        <w:jc w:val="both"/>
        <w:rPr>
          <w:b/>
        </w:rPr>
      </w:pPr>
      <w:r w:rsidRPr="00820A51">
        <w:rPr>
          <w:b/>
        </w:rPr>
        <w:t>18.</w:t>
      </w:r>
      <w:r>
        <w:rPr>
          <w:b/>
        </w:rPr>
        <w:t>12</w:t>
      </w:r>
      <w:r w:rsidR="00C82EB5">
        <w:rPr>
          <w:b/>
        </w:rPr>
        <w:t>.2016</w:t>
      </w:r>
      <w:r w:rsidRPr="00820A51">
        <w:rPr>
          <w:b/>
        </w:rPr>
        <w:t xml:space="preserve">: </w:t>
      </w:r>
      <w:r w:rsidRPr="00820A51">
        <w:t>Rok za poročanje o izplačanih plačah v javnem sektorju (velja za javni sektor</w:t>
      </w:r>
      <w:r w:rsidR="00A379E0" w:rsidRPr="00A379E0">
        <w:t>)</w:t>
      </w:r>
    </w:p>
    <w:p w:rsidR="00820A51" w:rsidRPr="00820A51" w:rsidRDefault="00C82EB5" w:rsidP="00820A51">
      <w:pPr>
        <w:ind w:firstLine="708"/>
        <w:jc w:val="both"/>
        <w:rPr>
          <w:b/>
        </w:rPr>
      </w:pPr>
      <w:r>
        <w:rPr>
          <w:b/>
        </w:rPr>
        <w:t>22</w:t>
      </w:r>
      <w:r w:rsidR="00820A51" w:rsidRPr="00820A51">
        <w:rPr>
          <w:b/>
        </w:rPr>
        <w:t>.</w:t>
      </w:r>
      <w:r w:rsidR="00820A51">
        <w:rPr>
          <w:b/>
        </w:rPr>
        <w:t>12</w:t>
      </w:r>
      <w:r w:rsidR="00820A51" w:rsidRPr="00820A51">
        <w:rPr>
          <w:b/>
        </w:rPr>
        <w:t>.201</w:t>
      </w:r>
      <w:r>
        <w:rPr>
          <w:b/>
        </w:rPr>
        <w:t>6</w:t>
      </w:r>
      <w:r w:rsidR="00820A51" w:rsidRPr="00820A51">
        <w:rPr>
          <w:b/>
        </w:rPr>
        <w:t xml:space="preserve">: </w:t>
      </w:r>
      <w:r w:rsidR="00820A51" w:rsidRPr="00820A51">
        <w:t>Rok za oddajo večstranskega pobota - obvezni in prostovoljni (neobvezni)</w:t>
      </w:r>
    </w:p>
    <w:p w:rsidR="001C2BCE" w:rsidRDefault="00820A51" w:rsidP="00EF2ADC">
      <w:pPr>
        <w:ind w:firstLine="708"/>
        <w:jc w:val="both"/>
      </w:pPr>
      <w:r w:rsidRPr="00820A51">
        <w:rPr>
          <w:b/>
        </w:rPr>
        <w:t>3</w:t>
      </w:r>
      <w:r>
        <w:rPr>
          <w:b/>
        </w:rPr>
        <w:t>1</w:t>
      </w:r>
      <w:r w:rsidRPr="00820A51">
        <w:rPr>
          <w:b/>
        </w:rPr>
        <w:t>.</w:t>
      </w:r>
      <w:r>
        <w:rPr>
          <w:b/>
        </w:rPr>
        <w:t>12</w:t>
      </w:r>
      <w:r w:rsidRPr="00820A51">
        <w:rPr>
          <w:b/>
        </w:rPr>
        <w:t>.201</w:t>
      </w:r>
      <w:r w:rsidR="00C82EB5">
        <w:rPr>
          <w:b/>
        </w:rPr>
        <w:t>6</w:t>
      </w:r>
      <w:r w:rsidRPr="00820A51">
        <w:rPr>
          <w:b/>
        </w:rPr>
        <w:t xml:space="preserve">: </w:t>
      </w:r>
      <w:r w:rsidRPr="00820A51">
        <w:t>Rok za poročanje o izplačanih plač</w:t>
      </w:r>
      <w:r w:rsidR="00D178DE">
        <w:t>ah in regresu (velja za zasebni</w:t>
      </w:r>
      <w:r w:rsidR="005C344E">
        <w:t xml:space="preserve"> sektor</w:t>
      </w:r>
      <w:r w:rsidRPr="00820A51">
        <w:t>)</w:t>
      </w:r>
    </w:p>
    <w:p w:rsidR="00820A51" w:rsidRPr="00820A51" w:rsidRDefault="00820A51" w:rsidP="00820A51">
      <w:pPr>
        <w:jc w:val="both"/>
        <w:rPr>
          <w:vanish/>
        </w:rPr>
      </w:pPr>
    </w:p>
    <w:p w:rsidR="00F15717" w:rsidRDefault="00F15717" w:rsidP="00935F43">
      <w:pPr>
        <w:jc w:val="both"/>
      </w:pPr>
    </w:p>
    <w:p w:rsidR="00935F43" w:rsidRPr="00436E0C" w:rsidRDefault="00935F43" w:rsidP="00935F43">
      <w:pPr>
        <w:jc w:val="both"/>
        <w:rPr>
          <w:b/>
        </w:rPr>
      </w:pPr>
      <w:r w:rsidRPr="00935F43">
        <w:rPr>
          <w:b/>
        </w:rPr>
        <w:t xml:space="preserve">  </w:t>
      </w:r>
    </w:p>
    <w:sectPr w:rsidR="00935F43" w:rsidRPr="00436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8FA"/>
    <w:multiLevelType w:val="hybridMultilevel"/>
    <w:tmpl w:val="34EE1D68"/>
    <w:lvl w:ilvl="0" w:tplc="7A94F8A4">
      <w:start w:val="1"/>
      <w:numFmt w:val="upperRoman"/>
      <w:lvlText w:val="%1."/>
      <w:lvlJc w:val="left"/>
      <w:pPr>
        <w:ind w:left="2520" w:hanging="72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 w15:restartNumberingAfterBreak="0">
    <w:nsid w:val="06D136EA"/>
    <w:multiLevelType w:val="hybridMultilevel"/>
    <w:tmpl w:val="95207AAE"/>
    <w:lvl w:ilvl="0" w:tplc="4F863DA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EB6C10"/>
    <w:multiLevelType w:val="hybridMultilevel"/>
    <w:tmpl w:val="8F90051C"/>
    <w:lvl w:ilvl="0" w:tplc="12186BD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B94C7E"/>
    <w:multiLevelType w:val="multilevel"/>
    <w:tmpl w:val="ABF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50A67"/>
    <w:multiLevelType w:val="hybridMultilevel"/>
    <w:tmpl w:val="C2826692"/>
    <w:lvl w:ilvl="0" w:tplc="19A65DF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9776CA8"/>
    <w:multiLevelType w:val="hybridMultilevel"/>
    <w:tmpl w:val="66C04D4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6" w15:restartNumberingAfterBreak="0">
    <w:nsid w:val="2A3D0E2E"/>
    <w:multiLevelType w:val="hybridMultilevel"/>
    <w:tmpl w:val="B01A57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8C24803"/>
    <w:multiLevelType w:val="hybridMultilevel"/>
    <w:tmpl w:val="DFC4DF84"/>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8" w15:restartNumberingAfterBreak="0">
    <w:nsid w:val="6A5E7097"/>
    <w:multiLevelType w:val="hybridMultilevel"/>
    <w:tmpl w:val="434666D2"/>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9" w15:restartNumberingAfterBreak="0">
    <w:nsid w:val="70D90B5E"/>
    <w:multiLevelType w:val="hybridMultilevel"/>
    <w:tmpl w:val="19D0BF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7E974E8"/>
    <w:multiLevelType w:val="hybridMultilevel"/>
    <w:tmpl w:val="E37211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7F40F29"/>
    <w:multiLevelType w:val="hybridMultilevel"/>
    <w:tmpl w:val="502ACA00"/>
    <w:lvl w:ilvl="0" w:tplc="185E31C8">
      <w:numFmt w:val="bullet"/>
      <w:lvlText w:val="-"/>
      <w:lvlJc w:val="left"/>
      <w:pPr>
        <w:ind w:left="720" w:hanging="360"/>
      </w:pPr>
      <w:rPr>
        <w:rFonts w:ascii="Verdana" w:eastAsia="Times New Roman" w:hAnsi="Verdan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E5A1B26"/>
    <w:multiLevelType w:val="hybridMultilevel"/>
    <w:tmpl w:val="7DBE643A"/>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FC908E6"/>
    <w:multiLevelType w:val="hybridMultilevel"/>
    <w:tmpl w:val="EA6013D8"/>
    <w:lvl w:ilvl="0" w:tplc="BE30EA38">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10"/>
  </w:num>
  <w:num w:numId="2">
    <w:abstractNumId w:val="9"/>
  </w:num>
  <w:num w:numId="3">
    <w:abstractNumId w:val="2"/>
  </w:num>
  <w:num w:numId="4">
    <w:abstractNumId w:val="1"/>
  </w:num>
  <w:num w:numId="5">
    <w:abstractNumId w:val="6"/>
  </w:num>
  <w:num w:numId="6">
    <w:abstractNumId w:val="4"/>
  </w:num>
  <w:num w:numId="7">
    <w:abstractNumId w:val="13"/>
  </w:num>
  <w:num w:numId="8">
    <w:abstractNumId w:val="0"/>
  </w:num>
  <w:num w:numId="9">
    <w:abstractNumId w:val="11"/>
  </w:num>
  <w:num w:numId="10">
    <w:abstractNumId w:val="12"/>
  </w:num>
  <w:num w:numId="11">
    <w:abstractNumId w:val="3"/>
  </w:num>
  <w:num w:numId="12">
    <w:abstractNumId w:val="7"/>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F5"/>
    <w:rsid w:val="00020C34"/>
    <w:rsid w:val="00035CA1"/>
    <w:rsid w:val="00055908"/>
    <w:rsid w:val="00065B18"/>
    <w:rsid w:val="000F29A5"/>
    <w:rsid w:val="001028E8"/>
    <w:rsid w:val="00132186"/>
    <w:rsid w:val="001725F5"/>
    <w:rsid w:val="001C2BCE"/>
    <w:rsid w:val="001D302A"/>
    <w:rsid w:val="00264153"/>
    <w:rsid w:val="002A3F0F"/>
    <w:rsid w:val="002B6FB2"/>
    <w:rsid w:val="00314E97"/>
    <w:rsid w:val="00332623"/>
    <w:rsid w:val="00362CCB"/>
    <w:rsid w:val="00387304"/>
    <w:rsid w:val="004200BB"/>
    <w:rsid w:val="0042111D"/>
    <w:rsid w:val="00426981"/>
    <w:rsid w:val="00432627"/>
    <w:rsid w:val="00436E0C"/>
    <w:rsid w:val="00440C8A"/>
    <w:rsid w:val="00442B25"/>
    <w:rsid w:val="00480847"/>
    <w:rsid w:val="004D52B5"/>
    <w:rsid w:val="004E791F"/>
    <w:rsid w:val="00594B78"/>
    <w:rsid w:val="005C344E"/>
    <w:rsid w:val="006253AD"/>
    <w:rsid w:val="00644AED"/>
    <w:rsid w:val="006A14EF"/>
    <w:rsid w:val="006A7251"/>
    <w:rsid w:val="00790558"/>
    <w:rsid w:val="007D1EBB"/>
    <w:rsid w:val="00820A51"/>
    <w:rsid w:val="00822936"/>
    <w:rsid w:val="00826CD0"/>
    <w:rsid w:val="00840C8C"/>
    <w:rsid w:val="00856292"/>
    <w:rsid w:val="00863AD5"/>
    <w:rsid w:val="008D7D03"/>
    <w:rsid w:val="00904639"/>
    <w:rsid w:val="00935F43"/>
    <w:rsid w:val="00943AF3"/>
    <w:rsid w:val="009625E1"/>
    <w:rsid w:val="00975836"/>
    <w:rsid w:val="009B2F84"/>
    <w:rsid w:val="009B6ACA"/>
    <w:rsid w:val="009B7DF3"/>
    <w:rsid w:val="009D39FB"/>
    <w:rsid w:val="00A379E0"/>
    <w:rsid w:val="00A6172D"/>
    <w:rsid w:val="00A6183E"/>
    <w:rsid w:val="00A6195D"/>
    <w:rsid w:val="00AB5C03"/>
    <w:rsid w:val="00AE0FE6"/>
    <w:rsid w:val="00AF4C59"/>
    <w:rsid w:val="00B65C3B"/>
    <w:rsid w:val="00BC1361"/>
    <w:rsid w:val="00C55C43"/>
    <w:rsid w:val="00C57D50"/>
    <w:rsid w:val="00C82EB5"/>
    <w:rsid w:val="00CA2BAA"/>
    <w:rsid w:val="00CC6300"/>
    <w:rsid w:val="00CD4932"/>
    <w:rsid w:val="00D178DE"/>
    <w:rsid w:val="00DA1B3F"/>
    <w:rsid w:val="00DA6C2F"/>
    <w:rsid w:val="00DE12FB"/>
    <w:rsid w:val="00E003BC"/>
    <w:rsid w:val="00E344CE"/>
    <w:rsid w:val="00EA6CDF"/>
    <w:rsid w:val="00EF2ADC"/>
    <w:rsid w:val="00F01141"/>
    <w:rsid w:val="00F15717"/>
    <w:rsid w:val="00F609CE"/>
    <w:rsid w:val="00FA7B96"/>
    <w:rsid w:val="00FA7EF9"/>
    <w:rsid w:val="00FB71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E69E60B-E445-4EC2-ADA7-118B358C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1725F5"/>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725F5"/>
    <w:pPr>
      <w:ind w:left="720"/>
      <w:contextualSpacing/>
    </w:pPr>
  </w:style>
  <w:style w:type="character" w:styleId="Hiperpovezava">
    <w:name w:val="Hyperlink"/>
    <w:basedOn w:val="Privzetapisavaodstavka"/>
    <w:uiPriority w:val="99"/>
    <w:unhideWhenUsed/>
    <w:rsid w:val="00C55C43"/>
    <w:rPr>
      <w:color w:val="0000FF" w:themeColor="hyperlink"/>
      <w:u w:val="single"/>
    </w:rPr>
  </w:style>
  <w:style w:type="paragraph" w:styleId="Besedilooblaka">
    <w:name w:val="Balloon Text"/>
    <w:basedOn w:val="Navaden"/>
    <w:link w:val="BesedilooblakaZnak"/>
    <w:uiPriority w:val="99"/>
    <w:semiHidden/>
    <w:unhideWhenUsed/>
    <w:rsid w:val="00C57D5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57D50"/>
    <w:rPr>
      <w:rFonts w:ascii="Tahoma" w:hAnsi="Tahoma" w:cs="Tahoma"/>
      <w:sz w:val="16"/>
      <w:szCs w:val="16"/>
    </w:rPr>
  </w:style>
  <w:style w:type="paragraph" w:customStyle="1" w:styleId="Default">
    <w:name w:val="Default"/>
    <w:rsid w:val="00A619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41370">
      <w:bodyDiv w:val="1"/>
      <w:marLeft w:val="0"/>
      <w:marRight w:val="0"/>
      <w:marTop w:val="0"/>
      <w:marBottom w:val="0"/>
      <w:divBdr>
        <w:top w:val="none" w:sz="0" w:space="0" w:color="auto"/>
        <w:left w:val="none" w:sz="0" w:space="0" w:color="auto"/>
        <w:bottom w:val="none" w:sz="0" w:space="0" w:color="auto"/>
        <w:right w:val="none" w:sz="0" w:space="0" w:color="auto"/>
      </w:divBdr>
    </w:div>
    <w:div w:id="924921321">
      <w:bodyDiv w:val="1"/>
      <w:marLeft w:val="0"/>
      <w:marRight w:val="0"/>
      <w:marTop w:val="0"/>
      <w:marBottom w:val="0"/>
      <w:divBdr>
        <w:top w:val="none" w:sz="0" w:space="0" w:color="auto"/>
        <w:left w:val="none" w:sz="0" w:space="0" w:color="auto"/>
        <w:bottom w:val="none" w:sz="0" w:space="0" w:color="auto"/>
        <w:right w:val="none" w:sz="0" w:space="0" w:color="auto"/>
      </w:divBdr>
    </w:div>
    <w:div w:id="969626201">
      <w:bodyDiv w:val="1"/>
      <w:marLeft w:val="0"/>
      <w:marRight w:val="0"/>
      <w:marTop w:val="0"/>
      <w:marBottom w:val="0"/>
      <w:divBdr>
        <w:top w:val="none" w:sz="0" w:space="0" w:color="auto"/>
        <w:left w:val="none" w:sz="0" w:space="0" w:color="auto"/>
        <w:bottom w:val="none" w:sz="0" w:space="0" w:color="auto"/>
        <w:right w:val="none" w:sz="0" w:space="0" w:color="auto"/>
      </w:divBdr>
    </w:div>
    <w:div w:id="1064184819">
      <w:bodyDiv w:val="1"/>
      <w:marLeft w:val="0"/>
      <w:marRight w:val="0"/>
      <w:marTop w:val="0"/>
      <w:marBottom w:val="0"/>
      <w:divBdr>
        <w:top w:val="none" w:sz="0" w:space="0" w:color="auto"/>
        <w:left w:val="none" w:sz="0" w:space="0" w:color="auto"/>
        <w:bottom w:val="none" w:sz="0" w:space="0" w:color="auto"/>
        <w:right w:val="none" w:sz="0" w:space="0" w:color="auto"/>
      </w:divBdr>
    </w:div>
    <w:div w:id="1502038933">
      <w:bodyDiv w:val="1"/>
      <w:marLeft w:val="0"/>
      <w:marRight w:val="0"/>
      <w:marTop w:val="0"/>
      <w:marBottom w:val="0"/>
      <w:divBdr>
        <w:top w:val="none" w:sz="0" w:space="0" w:color="auto"/>
        <w:left w:val="none" w:sz="0" w:space="0" w:color="auto"/>
        <w:bottom w:val="none" w:sz="0" w:space="0" w:color="auto"/>
        <w:right w:val="none" w:sz="0" w:space="0" w:color="auto"/>
      </w:divBdr>
    </w:div>
    <w:div w:id="1516577132">
      <w:bodyDiv w:val="1"/>
      <w:marLeft w:val="0"/>
      <w:marRight w:val="0"/>
      <w:marTop w:val="0"/>
      <w:marBottom w:val="0"/>
      <w:divBdr>
        <w:top w:val="none" w:sz="0" w:space="0" w:color="auto"/>
        <w:left w:val="none" w:sz="0" w:space="0" w:color="auto"/>
        <w:bottom w:val="none" w:sz="0" w:space="0" w:color="auto"/>
        <w:right w:val="none" w:sz="0" w:space="0" w:color="auto"/>
      </w:divBdr>
    </w:div>
    <w:div w:id="1572694021">
      <w:bodyDiv w:val="1"/>
      <w:marLeft w:val="0"/>
      <w:marRight w:val="0"/>
      <w:marTop w:val="0"/>
      <w:marBottom w:val="0"/>
      <w:divBdr>
        <w:top w:val="none" w:sz="0" w:space="0" w:color="auto"/>
        <w:left w:val="none" w:sz="0" w:space="0" w:color="auto"/>
        <w:bottom w:val="none" w:sz="0" w:space="0" w:color="auto"/>
        <w:right w:val="none" w:sz="0" w:space="0" w:color="auto"/>
      </w:divBdr>
    </w:div>
    <w:div w:id="1725906637">
      <w:bodyDiv w:val="1"/>
      <w:marLeft w:val="0"/>
      <w:marRight w:val="0"/>
      <w:marTop w:val="0"/>
      <w:marBottom w:val="0"/>
      <w:divBdr>
        <w:top w:val="none" w:sz="0" w:space="0" w:color="auto"/>
        <w:left w:val="none" w:sz="0" w:space="0" w:color="auto"/>
        <w:bottom w:val="none" w:sz="0" w:space="0" w:color="auto"/>
        <w:right w:val="none" w:sz="0" w:space="0" w:color="auto"/>
      </w:divBdr>
    </w:div>
    <w:div w:id="1878740452">
      <w:bodyDiv w:val="1"/>
      <w:marLeft w:val="0"/>
      <w:marRight w:val="0"/>
      <w:marTop w:val="0"/>
      <w:marBottom w:val="0"/>
      <w:divBdr>
        <w:top w:val="none" w:sz="0" w:space="0" w:color="auto"/>
        <w:left w:val="none" w:sz="0" w:space="0" w:color="auto"/>
        <w:bottom w:val="none" w:sz="0" w:space="0" w:color="auto"/>
        <w:right w:val="none" w:sz="0" w:space="0" w:color="auto"/>
      </w:divBdr>
    </w:div>
    <w:div w:id="1932740940">
      <w:bodyDiv w:val="1"/>
      <w:marLeft w:val="0"/>
      <w:marRight w:val="0"/>
      <w:marTop w:val="0"/>
      <w:marBottom w:val="0"/>
      <w:divBdr>
        <w:top w:val="none" w:sz="0" w:space="0" w:color="auto"/>
        <w:left w:val="none" w:sz="0" w:space="0" w:color="auto"/>
        <w:bottom w:val="none" w:sz="0" w:space="0" w:color="auto"/>
        <w:right w:val="none" w:sz="0" w:space="0" w:color="auto"/>
      </w:divBdr>
    </w:div>
    <w:div w:id="19712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pes.si"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2725</Characters>
  <Application>Microsoft Office Word</Application>
  <DocSecurity>4</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Tomaž Žganjar</dc:creator>
  <cp:lastModifiedBy>bogomir gaberc</cp:lastModifiedBy>
  <cp:revision>2</cp:revision>
  <cp:lastPrinted>2015-11-18T11:56:00Z</cp:lastPrinted>
  <dcterms:created xsi:type="dcterms:W3CDTF">2016-12-01T07:17:00Z</dcterms:created>
  <dcterms:modified xsi:type="dcterms:W3CDTF">2016-12-01T07:17:00Z</dcterms:modified>
</cp:coreProperties>
</file>