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21" w:rsidRDefault="00AD6A21" w:rsidP="00AD6A21">
      <w:pPr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:rsidR="00AE2B81" w:rsidRPr="00AD6A21" w:rsidRDefault="00AE2B81" w:rsidP="00AD6A21">
      <w:pPr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:rsidR="00AE2B81" w:rsidRPr="00AE2B81" w:rsidRDefault="00AE2B81" w:rsidP="00AE2B81">
      <w:pPr>
        <w:keepNext/>
        <w:keepLines/>
        <w:ind w:right="2"/>
        <w:jc w:val="center"/>
        <w:outlineLvl w:val="0"/>
        <w:rPr>
          <w:rFonts w:ascii="Arial" w:eastAsia="Tahoma" w:hAnsi="Arial" w:cs="Arial"/>
          <w:b/>
          <w:sz w:val="20"/>
          <w:szCs w:val="20"/>
          <w:lang w:val="sl-SI" w:eastAsia="sl-SI"/>
        </w:rPr>
      </w:pPr>
      <w:r w:rsidRPr="00AE2B81">
        <w:rPr>
          <w:rFonts w:ascii="Arial" w:eastAsia="Tahoma" w:hAnsi="Arial" w:cs="Arial"/>
          <w:b/>
          <w:sz w:val="20"/>
          <w:szCs w:val="20"/>
          <w:lang w:val="sl-SI" w:eastAsia="sl-SI"/>
        </w:rPr>
        <w:t>JAVNI RAZPIS</w:t>
      </w:r>
    </w:p>
    <w:p w:rsidR="00AE2B81" w:rsidRPr="00AE2B81" w:rsidRDefault="00AE2B81" w:rsidP="00AE2B81">
      <w:pPr>
        <w:keepNext/>
        <w:keepLines/>
        <w:ind w:right="2"/>
        <w:jc w:val="center"/>
        <w:outlineLvl w:val="0"/>
        <w:rPr>
          <w:rFonts w:ascii="Arial" w:eastAsia="Tahoma" w:hAnsi="Arial" w:cs="Arial"/>
          <w:b/>
          <w:sz w:val="20"/>
          <w:szCs w:val="20"/>
          <w:lang w:val="sl-SI" w:eastAsia="sl-SI"/>
        </w:rPr>
      </w:pPr>
      <w:r w:rsidRPr="00AE2B81">
        <w:rPr>
          <w:rFonts w:ascii="Arial" w:eastAsia="Tahoma" w:hAnsi="Arial" w:cs="Arial"/>
          <w:b/>
          <w:sz w:val="20"/>
          <w:szCs w:val="20"/>
          <w:lang w:val="sl-SI" w:eastAsia="sl-SI"/>
        </w:rPr>
        <w:t>garancij za bančne kredite mikro, malim in srednje velikim podjetjem v okviru Regijske garancijske sheme v Osrednjeslovenski regiji</w:t>
      </w:r>
    </w:p>
    <w:p w:rsidR="00AE2B81" w:rsidRPr="00AE2B81" w:rsidRDefault="00AE2B81" w:rsidP="00AE2B81">
      <w:pPr>
        <w:spacing w:after="200"/>
        <w:rPr>
          <w:rFonts w:asciiTheme="minorHAnsi" w:eastAsiaTheme="minorHAnsi" w:hAnsiTheme="minorHAnsi" w:cstheme="minorBidi"/>
          <w:sz w:val="22"/>
          <w:szCs w:val="22"/>
          <w:lang w:val="sl-SI" w:eastAsia="sl-SI"/>
        </w:rPr>
      </w:pPr>
    </w:p>
    <w:p w:rsidR="00AE2B81" w:rsidRPr="00AE2B81" w:rsidRDefault="00AE2B81" w:rsidP="00AE2B81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val="sl-SI"/>
        </w:rPr>
      </w:pPr>
      <w:r w:rsidRPr="00AE2B81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Regionalna razvojna agencija Ljubljanske urbane regije (RRA LUR) </w:t>
      </w:r>
      <w:r w:rsidR="0021291F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je </w:t>
      </w:r>
      <w:r>
        <w:rPr>
          <w:rFonts w:asciiTheme="minorHAnsi" w:eastAsiaTheme="minorHAnsi" w:hAnsiTheme="minorHAnsi" w:cstheme="minorBidi"/>
          <w:sz w:val="22"/>
          <w:szCs w:val="22"/>
          <w:lang w:val="sl-SI"/>
        </w:rPr>
        <w:t>v sodelovanju</w:t>
      </w:r>
      <w:r w:rsidRPr="00AE2B81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 s  Slovenskim regionalno razvojnim skladom</w:t>
      </w:r>
      <w:r w:rsidR="0021291F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 objavila</w:t>
      </w:r>
      <w:r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 Javni razpis za bančne kredite oziroma dodeljevanje garancij namenjenih </w:t>
      </w:r>
      <w:r w:rsidRPr="00AE2B81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gospodarskim subjektom, ki delujejo in vlagajo na območju občin statistične regije Osrednja Slovenija. Statistična regija obsega naslednje občine: </w:t>
      </w:r>
      <w:r w:rsidRPr="00AE2B81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>Borovnica, Brezovica, Dobrepolje, Dobrova - Polhov Gradec, Dol pri Ljubljani, Domžale, Grosuplje, Horjul, Ig, Ivančna Gorica, Kamnik, Komenda, MO Ljubljana, Logatec, Log – Dragomer, Lukovica, Medvode, Mengeš, Moravče, Škofljica, Šmartno pri Litiji, Trzin, Velike Lašče, Vodice in Vrhnika.</w:t>
      </w:r>
    </w:p>
    <w:p w:rsidR="00AE2B81" w:rsidRPr="00AE2B81" w:rsidRDefault="00AE2B81" w:rsidP="00AE2B81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val="sl-SI"/>
        </w:rPr>
      </w:pPr>
    </w:p>
    <w:p w:rsidR="00AE2B81" w:rsidRPr="00AE2B81" w:rsidRDefault="00AE2B81" w:rsidP="00AE2B81">
      <w:pPr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 w:rsidRPr="00AE2B81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Na razpis se lahko prijavijo </w:t>
      </w:r>
      <w:r w:rsidRPr="00AE2B81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>mikro, male in srednje velike gospodarske družbe, samostojni podjetniki ter zadruge</w:t>
      </w:r>
      <w:r w:rsidRPr="00AE2B81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, ki imajo sedež podjetja ali njegov registriran del  (poslovno enoto) na upravičenem območju in so na dan oddaje vloge registrirani po Zakonu o gospodarskih družbah ali po Zakonu o zadrugah, oziroma fizične osebe, ki opravljajo dejavnost vpisano v drug ustrezen register. Upravičeni prijavitelji so tudi </w:t>
      </w:r>
      <w:r w:rsidRPr="00AE2B81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>socialna podjetja</w:t>
      </w:r>
      <w:r w:rsidRPr="00AE2B81">
        <w:rPr>
          <w:rFonts w:asciiTheme="minorHAnsi" w:eastAsiaTheme="minorHAnsi" w:hAnsiTheme="minorHAnsi" w:cstheme="minorBidi"/>
          <w:sz w:val="22"/>
          <w:szCs w:val="22"/>
          <w:lang w:val="sl-SI"/>
        </w:rPr>
        <w:t>, ki so status socialnega podjetja pridobila po Zakonu o socialnem podjetništvu in ustrezajo predhodnim določbam tega odstavka.</w:t>
      </w:r>
    </w:p>
    <w:p w:rsidR="00AE2B81" w:rsidRPr="00AE2B81" w:rsidRDefault="00AE2B81" w:rsidP="00AE2B81">
      <w:pPr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p w:rsidR="00AE2B81" w:rsidRPr="00AE2B81" w:rsidRDefault="00AE2B81" w:rsidP="00AE2B81">
      <w:pPr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 w:rsidRPr="00AE2B81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Iz garancijskega sklada se bodo izdajale </w:t>
      </w:r>
      <w:r w:rsidRPr="00AE2B81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>garancije v višini 50 % vrednosti kredita</w:t>
      </w:r>
      <w:r w:rsidRPr="00AE2B81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, preostalo polovico kredita pa zavaruje banka po svojih pogojih. </w:t>
      </w:r>
      <w:r w:rsidRPr="00AE2B81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 xml:space="preserve">Najvišji znesek kredita je lahko do 150.000 EUR, najvišji znesek odprtih garanciji na upravičenca pa do 120.000 EUR. </w:t>
      </w:r>
      <w:r w:rsidRPr="00AE2B81">
        <w:rPr>
          <w:rFonts w:asciiTheme="minorHAnsi" w:eastAsiaTheme="minorHAnsi" w:hAnsiTheme="minorHAnsi" w:cstheme="minorBidi"/>
          <w:sz w:val="22"/>
          <w:szCs w:val="22"/>
          <w:lang w:val="sl-SI"/>
        </w:rPr>
        <w:t>Predmet prijavljenega projekta so naložbe v opredmetena in neopredmetena osnovna sredstva in obratni stroški v povezavi s prijavljenim projektom, vendar največ 20 % vrednosti kredita.</w:t>
      </w:r>
    </w:p>
    <w:p w:rsidR="00AE2B81" w:rsidRPr="00AE2B81" w:rsidRDefault="00AE2B81" w:rsidP="00AE2B81">
      <w:pPr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p w:rsidR="00AE2B81" w:rsidRDefault="00AE2B81" w:rsidP="00AE2B81">
      <w:pPr>
        <w:spacing w:after="200"/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 w:rsidRPr="00AE2B81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 xml:space="preserve">Rok za prijavo je odprt od dneva objave v Uradnem listu RS </w:t>
      </w:r>
      <w:r w:rsidR="00C86F34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 xml:space="preserve">(8. 4. 2016) </w:t>
      </w:r>
      <w:bookmarkStart w:id="0" w:name="_GoBack"/>
      <w:bookmarkEnd w:id="0"/>
      <w:r w:rsidRPr="00AE2B81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>do porabe sredstev oziroma najpozneje do 15. 5. 2018.</w:t>
      </w:r>
      <w:r w:rsidRPr="00AE2B81"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 Vloge (obrazci in priloge) je potrebno poslati s priporočeno pošiljko po pošti ali osebno oddati na naslov RRA LUR, Tehnološki park 19, 1000 Ljubljana.</w:t>
      </w:r>
    </w:p>
    <w:p w:rsidR="00E661AE" w:rsidRPr="00AE2B81" w:rsidRDefault="00E661AE" w:rsidP="00E661AE">
      <w:pPr>
        <w:spacing w:after="200"/>
        <w:jc w:val="both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Javni razpis je objavljen na: </w:t>
      </w:r>
      <w:hyperlink r:id="rId7" w:history="1">
        <w:r w:rsidRPr="00AE2B81">
          <w:rPr>
            <w:rFonts w:asciiTheme="minorHAnsi" w:eastAsiaTheme="minorHAnsi" w:hAnsiTheme="minorHAnsi" w:cstheme="minorBidi"/>
            <w:b/>
            <w:color w:val="0000FF" w:themeColor="hyperlink"/>
            <w:sz w:val="22"/>
            <w:szCs w:val="22"/>
            <w:u w:val="single"/>
            <w:lang w:val="sl-SI"/>
          </w:rPr>
          <w:t>http://www.rralur.si/sl/projekti/regijska-garancijska-shema-v-osrednjeslovenski-regiji</w:t>
        </w:r>
      </w:hyperlink>
    </w:p>
    <w:p w:rsidR="00AE2B81" w:rsidRPr="00AE2B81" w:rsidRDefault="00AE2B81" w:rsidP="00AE2B81">
      <w:pPr>
        <w:spacing w:after="200"/>
        <w:jc w:val="both"/>
        <w:rPr>
          <w:rFonts w:asciiTheme="minorHAnsi" w:eastAsiaTheme="minorHAnsi" w:hAnsiTheme="minorHAnsi" w:cstheme="minorBidi"/>
          <w:b/>
          <w:sz w:val="22"/>
          <w:szCs w:val="22"/>
          <w:lang w:val="sl-SI"/>
        </w:rPr>
      </w:pPr>
      <w:r w:rsidRPr="00AE2B81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>V času odprtja razpisa se lahko za dodatne informacije obrnete na RRA LUR,</w:t>
      </w:r>
      <w:r w:rsidR="00E661AE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 xml:space="preserve"> tel: 01 306 1902 oziroma</w:t>
      </w:r>
      <w:r w:rsidRPr="00AE2B81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 xml:space="preserve"> na e-naslov: </w:t>
      </w:r>
      <w:hyperlink r:id="rId8" w:history="1">
        <w:r w:rsidRPr="00AE2B81">
          <w:rPr>
            <w:rFonts w:asciiTheme="minorHAnsi" w:eastAsiaTheme="minorHAnsi" w:hAnsiTheme="minorHAnsi" w:cstheme="minorBidi"/>
            <w:b/>
            <w:color w:val="0000FF" w:themeColor="hyperlink"/>
            <w:sz w:val="22"/>
            <w:szCs w:val="22"/>
            <w:u w:val="single"/>
            <w:lang w:val="sl-SI"/>
          </w:rPr>
          <w:t>roman.medved@ljubljana.si</w:t>
        </w:r>
      </w:hyperlink>
      <w:r w:rsidR="00E661AE">
        <w:rPr>
          <w:rFonts w:asciiTheme="minorHAnsi" w:eastAsiaTheme="minorHAnsi" w:hAnsiTheme="minorHAnsi" w:cstheme="minorBidi"/>
          <w:b/>
          <w:sz w:val="22"/>
          <w:szCs w:val="22"/>
          <w:lang w:val="sl-SI"/>
        </w:rPr>
        <w:t xml:space="preserve">. </w:t>
      </w:r>
    </w:p>
    <w:p w:rsidR="00552628" w:rsidRPr="00AD6A21" w:rsidRDefault="00552628" w:rsidP="00AE2B81">
      <w:pPr>
        <w:spacing w:line="276" w:lineRule="auto"/>
        <w:jc w:val="both"/>
        <w:rPr>
          <w:sz w:val="20"/>
          <w:szCs w:val="20"/>
          <w:lang w:val="sl-SI"/>
        </w:rPr>
      </w:pPr>
    </w:p>
    <w:sectPr w:rsidR="00552628" w:rsidRPr="00AD6A21" w:rsidSect="00AD6A21">
      <w:headerReference w:type="default" r:id="rId9"/>
      <w:pgSz w:w="11900" w:h="16840"/>
      <w:pgMar w:top="2268" w:right="1491" w:bottom="2030" w:left="149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84A" w:rsidRDefault="0092284A" w:rsidP="00C6296B">
      <w:r>
        <w:separator/>
      </w:r>
    </w:p>
  </w:endnote>
  <w:endnote w:type="continuationSeparator" w:id="0">
    <w:p w:rsidR="0092284A" w:rsidRDefault="0092284A" w:rsidP="00C62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84A" w:rsidRDefault="0092284A" w:rsidP="00C6296B">
      <w:r>
        <w:separator/>
      </w:r>
    </w:p>
  </w:footnote>
  <w:footnote w:type="continuationSeparator" w:id="0">
    <w:p w:rsidR="0092284A" w:rsidRDefault="0092284A" w:rsidP="00C62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58F" w:rsidRDefault="00A83B7A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635</wp:posOffset>
          </wp:positionH>
          <wp:positionV relativeFrom="paragraph">
            <wp:posOffset>-448945</wp:posOffset>
          </wp:positionV>
          <wp:extent cx="7558405" cy="2023745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202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5DC"/>
    <w:multiLevelType w:val="hybridMultilevel"/>
    <w:tmpl w:val="D910F04C"/>
    <w:lvl w:ilvl="0" w:tplc="E7EAAE80"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B7F27"/>
    <w:rsid w:val="0015127B"/>
    <w:rsid w:val="001B7BD3"/>
    <w:rsid w:val="0021291F"/>
    <w:rsid w:val="002209BB"/>
    <w:rsid w:val="002354ED"/>
    <w:rsid w:val="00277620"/>
    <w:rsid w:val="002B3281"/>
    <w:rsid w:val="002C5CCC"/>
    <w:rsid w:val="002C63BF"/>
    <w:rsid w:val="00317C4D"/>
    <w:rsid w:val="00337DEA"/>
    <w:rsid w:val="003509AF"/>
    <w:rsid w:val="00361070"/>
    <w:rsid w:val="003713BF"/>
    <w:rsid w:val="003C646D"/>
    <w:rsid w:val="003E07B3"/>
    <w:rsid w:val="0041458F"/>
    <w:rsid w:val="00437A40"/>
    <w:rsid w:val="00493D42"/>
    <w:rsid w:val="004B4190"/>
    <w:rsid w:val="00514476"/>
    <w:rsid w:val="00552628"/>
    <w:rsid w:val="006B7F27"/>
    <w:rsid w:val="00746AE6"/>
    <w:rsid w:val="00750570"/>
    <w:rsid w:val="00787406"/>
    <w:rsid w:val="007A553A"/>
    <w:rsid w:val="007C70DE"/>
    <w:rsid w:val="007F6CC4"/>
    <w:rsid w:val="008059C3"/>
    <w:rsid w:val="00825B72"/>
    <w:rsid w:val="008641D0"/>
    <w:rsid w:val="008676B3"/>
    <w:rsid w:val="00872278"/>
    <w:rsid w:val="00874B03"/>
    <w:rsid w:val="00880C4B"/>
    <w:rsid w:val="0092284A"/>
    <w:rsid w:val="00932A82"/>
    <w:rsid w:val="00934F8D"/>
    <w:rsid w:val="0096316B"/>
    <w:rsid w:val="00990ECA"/>
    <w:rsid w:val="009A3A4A"/>
    <w:rsid w:val="009A7078"/>
    <w:rsid w:val="00A37ED3"/>
    <w:rsid w:val="00A83B7A"/>
    <w:rsid w:val="00AA07B3"/>
    <w:rsid w:val="00AD6A21"/>
    <w:rsid w:val="00AE2B81"/>
    <w:rsid w:val="00B06FA7"/>
    <w:rsid w:val="00B1171E"/>
    <w:rsid w:val="00B61543"/>
    <w:rsid w:val="00B97665"/>
    <w:rsid w:val="00BE2C51"/>
    <w:rsid w:val="00C30FA6"/>
    <w:rsid w:val="00C6296B"/>
    <w:rsid w:val="00C81376"/>
    <w:rsid w:val="00C86F34"/>
    <w:rsid w:val="00CD2B42"/>
    <w:rsid w:val="00CE25C6"/>
    <w:rsid w:val="00CE2820"/>
    <w:rsid w:val="00D0113A"/>
    <w:rsid w:val="00D543A6"/>
    <w:rsid w:val="00D55681"/>
    <w:rsid w:val="00D85091"/>
    <w:rsid w:val="00DC5E6D"/>
    <w:rsid w:val="00DE1110"/>
    <w:rsid w:val="00E661AE"/>
    <w:rsid w:val="00EA21E8"/>
    <w:rsid w:val="00EB6EA1"/>
    <w:rsid w:val="00F67106"/>
    <w:rsid w:val="00F763BB"/>
    <w:rsid w:val="00FE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avaden">
    <w:name w:val="Normal"/>
    <w:qFormat/>
    <w:rsid w:val="00DC5E6D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296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296B"/>
  </w:style>
  <w:style w:type="paragraph" w:styleId="Noga">
    <w:name w:val="footer"/>
    <w:basedOn w:val="Navaden"/>
    <w:link w:val="NogaZnak"/>
    <w:uiPriority w:val="99"/>
    <w:unhideWhenUsed/>
    <w:rsid w:val="00C6296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6296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296B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6296B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avaden"/>
    <w:uiPriority w:val="99"/>
    <w:rsid w:val="001B7BD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Odstavekseznama">
    <w:name w:val="List Paragraph"/>
    <w:basedOn w:val="Navaden"/>
    <w:uiPriority w:val="72"/>
    <w:qFormat/>
    <w:rsid w:val="004B4190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unhideWhenUsed/>
    <w:rsid w:val="004B4190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4B4190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4B4190"/>
    <w:rPr>
      <w:lang w:val="en-US" w:eastAsia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4B4190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4B4190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296B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296B"/>
  </w:style>
  <w:style w:type="paragraph" w:styleId="Noga">
    <w:name w:val="footer"/>
    <w:basedOn w:val="Navaden"/>
    <w:link w:val="NogaZnak"/>
    <w:uiPriority w:val="99"/>
    <w:unhideWhenUsed/>
    <w:rsid w:val="00C6296B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6296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296B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6296B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avaden"/>
    <w:uiPriority w:val="99"/>
    <w:rsid w:val="001B7BD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Odstavekseznama">
    <w:name w:val="List Paragraph"/>
    <w:basedOn w:val="Navaden"/>
    <w:uiPriority w:val="72"/>
    <w:qFormat/>
    <w:rsid w:val="004B419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4B419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B419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B4190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B41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B4190"/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edved@ljubljan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ralur.si/sl/projekti/regijska-garancijska-shema-v-osrednjeslovenski-regij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RA%20LUR\CGP%20RRA%20LUR%20IN%20RCKE\Dopis_sekundarni\RRA%20LUR_dopis_sekundarni_template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RRA LUR_dopis_sekundarni_template_slo.dot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Boh</dc:creator>
  <cp:lastModifiedBy>Andreja Zdravje</cp:lastModifiedBy>
  <cp:revision>2</cp:revision>
  <cp:lastPrinted>2013-04-04T19:30:00Z</cp:lastPrinted>
  <dcterms:created xsi:type="dcterms:W3CDTF">2016-04-20T14:37:00Z</dcterms:created>
  <dcterms:modified xsi:type="dcterms:W3CDTF">2016-04-20T14:37:00Z</dcterms:modified>
</cp:coreProperties>
</file>