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8079" w14:textId="77777777" w:rsidR="00CE7E4C" w:rsidRPr="00CE7E4C" w:rsidRDefault="00CE7E4C" w:rsidP="00CE7E4C">
      <w:pPr>
        <w:pStyle w:val="Navadensplet"/>
        <w:spacing w:line="276" w:lineRule="auto"/>
        <w:jc w:val="right"/>
        <w:rPr>
          <w:rStyle w:val="Krepko"/>
          <w:rFonts w:ascii="Arial" w:hAnsi="Arial" w:cs="Arial"/>
          <w:b w:val="0"/>
          <w:sz w:val="22"/>
          <w:szCs w:val="22"/>
        </w:rPr>
      </w:pPr>
      <w:r w:rsidRPr="00CE7E4C">
        <w:rPr>
          <w:rStyle w:val="Krepko"/>
          <w:rFonts w:ascii="Arial" w:hAnsi="Arial" w:cs="Arial"/>
          <w:b w:val="0"/>
          <w:sz w:val="22"/>
          <w:szCs w:val="22"/>
        </w:rPr>
        <w:t>Sporočilo za javnost</w:t>
      </w:r>
    </w:p>
    <w:p w14:paraId="2CE57C2C" w14:textId="77777777" w:rsidR="004019EA" w:rsidRPr="004019EA" w:rsidRDefault="004019EA" w:rsidP="004019EA">
      <w:pPr>
        <w:pStyle w:val="Navadensplet"/>
        <w:spacing w:line="276" w:lineRule="auto"/>
        <w:jc w:val="both"/>
        <w:rPr>
          <w:rFonts w:ascii="Arial" w:hAnsi="Arial" w:cs="Arial"/>
          <w:sz w:val="22"/>
          <w:szCs w:val="22"/>
        </w:rPr>
      </w:pPr>
      <w:r w:rsidRPr="004019EA">
        <w:rPr>
          <w:rStyle w:val="Krepko"/>
          <w:rFonts w:ascii="Arial" w:hAnsi="Arial" w:cs="Arial"/>
          <w:sz w:val="22"/>
          <w:szCs w:val="22"/>
        </w:rPr>
        <w:t xml:space="preserve">Na Vrhniki </w:t>
      </w:r>
      <w:r>
        <w:rPr>
          <w:rStyle w:val="Krepko"/>
          <w:rFonts w:ascii="Arial" w:hAnsi="Arial" w:cs="Arial"/>
          <w:sz w:val="22"/>
          <w:szCs w:val="22"/>
        </w:rPr>
        <w:t xml:space="preserve">najvišja </w:t>
      </w:r>
      <w:r w:rsidRPr="004019EA">
        <w:rPr>
          <w:rStyle w:val="Krepko"/>
          <w:rFonts w:ascii="Arial" w:hAnsi="Arial" w:cs="Arial"/>
          <w:sz w:val="22"/>
          <w:szCs w:val="22"/>
        </w:rPr>
        <w:t>udeležba v programu DORA</w:t>
      </w:r>
      <w:r>
        <w:rPr>
          <w:rStyle w:val="Krepko"/>
          <w:rFonts w:ascii="Arial" w:hAnsi="Arial" w:cs="Arial"/>
          <w:sz w:val="22"/>
          <w:szCs w:val="22"/>
        </w:rPr>
        <w:t xml:space="preserve"> doslej</w:t>
      </w:r>
      <w:r w:rsidRPr="004019EA">
        <w:rPr>
          <w:rStyle w:val="Krepko"/>
          <w:rFonts w:ascii="Arial" w:hAnsi="Arial" w:cs="Arial"/>
          <w:sz w:val="22"/>
          <w:szCs w:val="22"/>
        </w:rPr>
        <w:t xml:space="preserve"> – mamografijo opravilo več kot 80 odstotkov povabljenih žensk</w:t>
      </w:r>
    </w:p>
    <w:p w14:paraId="7AD97222" w14:textId="77777777" w:rsidR="004019EA" w:rsidRPr="004019EA" w:rsidRDefault="004019EA" w:rsidP="004019EA">
      <w:pPr>
        <w:pStyle w:val="Navadensplet"/>
        <w:spacing w:line="276" w:lineRule="auto"/>
        <w:jc w:val="both"/>
        <w:rPr>
          <w:rFonts w:ascii="Arial" w:hAnsi="Arial" w:cs="Arial"/>
          <w:b/>
          <w:sz w:val="22"/>
          <w:szCs w:val="22"/>
        </w:rPr>
      </w:pPr>
      <w:r w:rsidRPr="004019EA">
        <w:rPr>
          <w:rFonts w:ascii="Arial" w:hAnsi="Arial" w:cs="Arial"/>
          <w:b/>
          <w:sz w:val="22"/>
          <w:szCs w:val="22"/>
        </w:rPr>
        <w:t>Vrhnika, Ljubljana, 17. 12. 2025 – V letošnjem letu je na Vrhniki potekal že sedmi krog slikanja žensk v mobilni enoti programa DORA. Med februarjem in oktobrom so na presejalno mamografijo povabili 6.175 žensk, starih med 50 in 69 let, iz občin Vrhnika, Borovnica, Dobrova – Polhov Gradec, Horjul, Log-Dragomer in Logatec.</w:t>
      </w:r>
    </w:p>
    <w:p w14:paraId="02FC6D81" w14:textId="77777777" w:rsidR="004019EA" w:rsidRPr="004019EA" w:rsidRDefault="004019EA" w:rsidP="004019EA">
      <w:pPr>
        <w:pStyle w:val="Navadensplet"/>
        <w:spacing w:line="276" w:lineRule="auto"/>
        <w:jc w:val="both"/>
        <w:rPr>
          <w:rFonts w:ascii="Arial" w:hAnsi="Arial" w:cs="Arial"/>
          <w:sz w:val="22"/>
          <w:szCs w:val="22"/>
        </w:rPr>
      </w:pPr>
      <w:r w:rsidRPr="004019EA">
        <w:rPr>
          <w:rFonts w:ascii="Arial" w:hAnsi="Arial" w:cs="Arial"/>
          <w:sz w:val="22"/>
          <w:szCs w:val="22"/>
        </w:rPr>
        <w:t>Odziv žensk je bil izjemen, saj se je presejalne mamografije udeležilo kar 80,4 odstotka povabljenih. To je najvišja udeležba doslej in pomemben mejnik pri izvajanju programa DORA na Vrhniki. Program omogoča odkrivanje majhnih rakov dojk, ki jih ženske same še ne morejo zatipati.</w:t>
      </w:r>
    </w:p>
    <w:p w14:paraId="290197C0" w14:textId="77777777" w:rsidR="004019EA" w:rsidRPr="004019EA" w:rsidRDefault="004019EA" w:rsidP="004019EA">
      <w:pPr>
        <w:pStyle w:val="Navadensplet"/>
        <w:spacing w:line="276" w:lineRule="auto"/>
        <w:jc w:val="both"/>
        <w:rPr>
          <w:rFonts w:ascii="Arial" w:hAnsi="Arial" w:cs="Arial"/>
          <w:sz w:val="22"/>
          <w:szCs w:val="22"/>
        </w:rPr>
      </w:pPr>
      <w:r w:rsidRPr="004019EA">
        <w:rPr>
          <w:rFonts w:ascii="Arial" w:hAnsi="Arial" w:cs="Arial"/>
          <w:sz w:val="22"/>
          <w:szCs w:val="22"/>
        </w:rPr>
        <w:t xml:space="preserve">Med vsemi opravljenimi mamografijami so pri 192 ženskah odkrili spremembe, zato so jih povabili na dodatne preiskave na Onkološki inštitut Ljubljana. Raka dojk so po zaključenih preiskavah potrdili pri </w:t>
      </w:r>
      <w:r w:rsidR="00BF7B53">
        <w:rPr>
          <w:rFonts w:ascii="Arial" w:hAnsi="Arial" w:cs="Arial"/>
          <w:sz w:val="22"/>
          <w:szCs w:val="22"/>
        </w:rPr>
        <w:t>36</w:t>
      </w:r>
      <w:r w:rsidRPr="004019EA">
        <w:rPr>
          <w:rFonts w:ascii="Arial" w:hAnsi="Arial" w:cs="Arial"/>
          <w:sz w:val="22"/>
          <w:szCs w:val="22"/>
        </w:rPr>
        <w:t xml:space="preserve"> ženskah</w:t>
      </w:r>
      <w:r w:rsidR="00BF7B53">
        <w:rPr>
          <w:rFonts w:ascii="Arial" w:hAnsi="Arial" w:cs="Arial"/>
          <w:sz w:val="22"/>
          <w:szCs w:val="22"/>
        </w:rPr>
        <w:t xml:space="preserve">, </w:t>
      </w:r>
      <w:r w:rsidRPr="004019EA">
        <w:rPr>
          <w:rFonts w:ascii="Arial" w:hAnsi="Arial" w:cs="Arial"/>
          <w:sz w:val="22"/>
          <w:szCs w:val="22"/>
        </w:rPr>
        <w:t>pri čemer je bil pri večini odkrit v začetni fazi, ko je omejen na dojko. Zgodnje odkritje praviloma pomeni uspešnejše in manj obsežno zdravljenje ter boljšo kakovost življenja bolnic.</w:t>
      </w:r>
    </w:p>
    <w:p w14:paraId="3D2768D5" w14:textId="77777777" w:rsidR="004019EA" w:rsidRPr="004019EA" w:rsidRDefault="004019EA" w:rsidP="004019EA">
      <w:pPr>
        <w:pStyle w:val="Navadensplet"/>
        <w:spacing w:line="276" w:lineRule="auto"/>
        <w:jc w:val="both"/>
        <w:rPr>
          <w:rFonts w:ascii="Arial" w:hAnsi="Arial" w:cs="Arial"/>
          <w:sz w:val="22"/>
          <w:szCs w:val="22"/>
        </w:rPr>
      </w:pPr>
      <w:r w:rsidRPr="004019EA">
        <w:rPr>
          <w:rFonts w:ascii="Arial" w:hAnsi="Arial" w:cs="Arial"/>
          <w:sz w:val="22"/>
          <w:szCs w:val="22"/>
        </w:rPr>
        <w:t xml:space="preserve">»Veseli nas izjemen odziv žensk na naša vabila. Presejalna mamografija je dokazano najbolj zanesljiva metoda za zgodnje odkrivanje raka dojk v ciljni skupini žensk med 50. in 69. letom starosti. Zahvala gre tudi lokalnim zdravstvenim delavcem, ki s svojim delom pomembno prispevajo k ozaveščanju o pomenu </w:t>
      </w:r>
      <w:r w:rsidR="00433C6E">
        <w:rPr>
          <w:rFonts w:ascii="Arial" w:hAnsi="Arial" w:cs="Arial"/>
          <w:sz w:val="22"/>
          <w:szCs w:val="22"/>
        </w:rPr>
        <w:t xml:space="preserve">redne </w:t>
      </w:r>
      <w:r w:rsidRPr="004019EA">
        <w:rPr>
          <w:rFonts w:ascii="Arial" w:hAnsi="Arial" w:cs="Arial"/>
          <w:sz w:val="22"/>
          <w:szCs w:val="22"/>
        </w:rPr>
        <w:t>udeležbe v presejalnih programih</w:t>
      </w:r>
      <w:r w:rsidR="0007201F">
        <w:rPr>
          <w:rFonts w:ascii="Arial" w:hAnsi="Arial" w:cs="Arial"/>
          <w:sz w:val="22"/>
          <w:szCs w:val="22"/>
        </w:rPr>
        <w:t xml:space="preserve"> za raka, ki </w:t>
      </w:r>
      <w:r w:rsidR="00433C6E">
        <w:rPr>
          <w:rFonts w:ascii="Arial" w:hAnsi="Arial" w:cs="Arial"/>
          <w:sz w:val="22"/>
          <w:szCs w:val="22"/>
        </w:rPr>
        <w:t>lahko reši življenje,</w:t>
      </w:r>
      <w:r w:rsidRPr="004019EA">
        <w:rPr>
          <w:rFonts w:ascii="Arial" w:hAnsi="Arial" w:cs="Arial"/>
          <w:sz w:val="22"/>
          <w:szCs w:val="22"/>
        </w:rPr>
        <w:t>« je</w:t>
      </w:r>
      <w:r w:rsidR="00433C6E">
        <w:rPr>
          <w:rFonts w:ascii="Arial" w:hAnsi="Arial" w:cs="Arial"/>
          <w:sz w:val="22"/>
          <w:szCs w:val="22"/>
        </w:rPr>
        <w:t xml:space="preserve"> povedala</w:t>
      </w:r>
      <w:r w:rsidRPr="004019EA">
        <w:rPr>
          <w:rFonts w:ascii="Arial" w:hAnsi="Arial" w:cs="Arial"/>
          <w:sz w:val="22"/>
          <w:szCs w:val="22"/>
        </w:rPr>
        <w:t xml:space="preserve"> Katja Kovše, dr. med., vodja programa DORA.</w:t>
      </w:r>
    </w:p>
    <w:p w14:paraId="2BED9A2F" w14:textId="77777777" w:rsidR="004019EA" w:rsidRPr="004019EA" w:rsidRDefault="004019EA" w:rsidP="00CE7E4C">
      <w:pPr>
        <w:pStyle w:val="Navadensplet"/>
        <w:spacing w:before="0" w:beforeAutospacing="0" w:after="0" w:afterAutospacing="0" w:line="276" w:lineRule="auto"/>
        <w:jc w:val="both"/>
        <w:rPr>
          <w:rFonts w:ascii="Arial" w:hAnsi="Arial" w:cs="Arial"/>
          <w:sz w:val="22"/>
          <w:szCs w:val="22"/>
        </w:rPr>
      </w:pPr>
      <w:r w:rsidRPr="004019EA">
        <w:rPr>
          <w:rFonts w:ascii="Arial" w:hAnsi="Arial" w:cs="Arial"/>
          <w:sz w:val="22"/>
          <w:szCs w:val="22"/>
        </w:rPr>
        <w:t>Po podatkih Registra raka Republike Slovenije je v letu 2022</w:t>
      </w:r>
      <w:r w:rsidR="0007201F">
        <w:rPr>
          <w:rFonts w:ascii="Arial" w:hAnsi="Arial" w:cs="Arial"/>
          <w:sz w:val="22"/>
          <w:szCs w:val="22"/>
        </w:rPr>
        <w:t xml:space="preserve">, ko so na voljo zadnji podatki, </w:t>
      </w:r>
      <w:r w:rsidRPr="004019EA">
        <w:rPr>
          <w:rFonts w:ascii="Arial" w:hAnsi="Arial" w:cs="Arial"/>
          <w:sz w:val="22"/>
          <w:szCs w:val="22"/>
        </w:rPr>
        <w:t>za rakom dojk na novo zbolelo 1.502 žensk, umrlo pa jih je 434. Rak dojk je bil pri ženskah najpogostejša oblika raka, saj je predstavljal skoraj četrtino vseh rakov pri ženskah. Več kot 80 odstotkov zbolelih je starejših od 50 let, zato je program DORA namenjen prav tej starostni skupini. Dolgoročni cilj programa je zmanjšati umrljivost zaradi raka dojk za 25 do 30 odstotkov.</w:t>
      </w:r>
    </w:p>
    <w:p w14:paraId="5540B8A4" w14:textId="77777777" w:rsidR="00CE7E4C" w:rsidRDefault="00CE7E4C" w:rsidP="00CE7E4C">
      <w:pPr>
        <w:spacing w:after="0" w:line="276" w:lineRule="auto"/>
        <w:jc w:val="both"/>
        <w:rPr>
          <w:rFonts w:ascii="Arial" w:hAnsi="Arial" w:cs="Arial"/>
          <w:b/>
        </w:rPr>
      </w:pPr>
    </w:p>
    <w:p w14:paraId="2EF854EE" w14:textId="77777777" w:rsidR="00C716A4" w:rsidRPr="004019EA" w:rsidRDefault="00C716A4" w:rsidP="00CE7E4C">
      <w:pPr>
        <w:spacing w:after="0" w:line="276" w:lineRule="auto"/>
        <w:jc w:val="both"/>
        <w:rPr>
          <w:rFonts w:ascii="Arial" w:hAnsi="Arial" w:cs="Arial"/>
          <w:b/>
        </w:rPr>
      </w:pPr>
      <w:r w:rsidRPr="004019EA">
        <w:rPr>
          <w:rFonts w:ascii="Arial" w:hAnsi="Arial" w:cs="Arial"/>
          <w:b/>
        </w:rPr>
        <w:t>Tabela 1: Udeležba povabljenih žensk po občinah v letu 2025</w:t>
      </w:r>
    </w:p>
    <w:tbl>
      <w:tblPr>
        <w:tblStyle w:val="Tabelamrea"/>
        <w:tblW w:w="0" w:type="auto"/>
        <w:tblLook w:val="04A0" w:firstRow="1" w:lastRow="0" w:firstColumn="1" w:lastColumn="0" w:noHBand="0" w:noVBand="1"/>
      </w:tblPr>
      <w:tblGrid>
        <w:gridCol w:w="4531"/>
        <w:gridCol w:w="4531"/>
      </w:tblGrid>
      <w:tr w:rsidR="00C716A4" w:rsidRPr="004019EA" w14:paraId="1D2808AA" w14:textId="77777777" w:rsidTr="00C716A4">
        <w:tc>
          <w:tcPr>
            <w:tcW w:w="4531" w:type="dxa"/>
          </w:tcPr>
          <w:p w14:paraId="07DEF0C7" w14:textId="77777777" w:rsidR="00C716A4" w:rsidRPr="004019EA" w:rsidRDefault="00C716A4" w:rsidP="00CE7E4C">
            <w:pPr>
              <w:spacing w:line="276" w:lineRule="auto"/>
              <w:jc w:val="both"/>
              <w:rPr>
                <w:rFonts w:ascii="Arial" w:hAnsi="Arial" w:cs="Arial"/>
                <w:b/>
              </w:rPr>
            </w:pPr>
            <w:r w:rsidRPr="004019EA">
              <w:rPr>
                <w:rFonts w:ascii="Arial" w:hAnsi="Arial" w:cs="Arial"/>
                <w:b/>
              </w:rPr>
              <w:t>OBČINA</w:t>
            </w:r>
          </w:p>
        </w:tc>
        <w:tc>
          <w:tcPr>
            <w:tcW w:w="4531" w:type="dxa"/>
          </w:tcPr>
          <w:p w14:paraId="0EC7AC42" w14:textId="77777777" w:rsidR="00C716A4" w:rsidRPr="004019EA" w:rsidRDefault="00C716A4" w:rsidP="00CE7E4C">
            <w:pPr>
              <w:spacing w:line="276" w:lineRule="auto"/>
              <w:jc w:val="center"/>
              <w:rPr>
                <w:rFonts w:ascii="Arial" w:hAnsi="Arial" w:cs="Arial"/>
                <w:b/>
              </w:rPr>
            </w:pPr>
            <w:r w:rsidRPr="004019EA">
              <w:rPr>
                <w:rFonts w:ascii="Arial" w:hAnsi="Arial" w:cs="Arial"/>
                <w:b/>
              </w:rPr>
              <w:t>UDELEŽBA (%)</w:t>
            </w:r>
          </w:p>
        </w:tc>
      </w:tr>
      <w:tr w:rsidR="00C716A4" w:rsidRPr="004019EA" w14:paraId="54D71FAB" w14:textId="77777777" w:rsidTr="00C716A4">
        <w:tc>
          <w:tcPr>
            <w:tcW w:w="4531" w:type="dxa"/>
          </w:tcPr>
          <w:p w14:paraId="23E12D70" w14:textId="77777777" w:rsidR="00C716A4" w:rsidRPr="004019EA" w:rsidRDefault="00C716A4" w:rsidP="00CE7E4C">
            <w:pPr>
              <w:spacing w:line="276" w:lineRule="auto"/>
              <w:jc w:val="both"/>
              <w:rPr>
                <w:rFonts w:ascii="Arial" w:hAnsi="Arial" w:cs="Arial"/>
              </w:rPr>
            </w:pPr>
            <w:r w:rsidRPr="004019EA">
              <w:rPr>
                <w:rFonts w:ascii="Arial" w:hAnsi="Arial" w:cs="Arial"/>
              </w:rPr>
              <w:t>Borovnica</w:t>
            </w:r>
          </w:p>
        </w:tc>
        <w:tc>
          <w:tcPr>
            <w:tcW w:w="4531" w:type="dxa"/>
          </w:tcPr>
          <w:p w14:paraId="1098E6B3" w14:textId="77777777" w:rsidR="00C716A4" w:rsidRPr="00ED7512" w:rsidRDefault="00ED7512" w:rsidP="00CE7E4C">
            <w:pPr>
              <w:spacing w:line="276" w:lineRule="auto"/>
              <w:jc w:val="center"/>
              <w:rPr>
                <w:rFonts w:ascii="Arial" w:hAnsi="Arial" w:cs="Arial"/>
              </w:rPr>
            </w:pPr>
            <w:r w:rsidRPr="00ED7512">
              <w:rPr>
                <w:rFonts w:ascii="Arial" w:hAnsi="Arial" w:cs="Arial"/>
              </w:rPr>
              <w:t>74,8</w:t>
            </w:r>
          </w:p>
        </w:tc>
      </w:tr>
      <w:tr w:rsidR="00C716A4" w:rsidRPr="004019EA" w14:paraId="64231854" w14:textId="77777777" w:rsidTr="00C716A4">
        <w:tc>
          <w:tcPr>
            <w:tcW w:w="4531" w:type="dxa"/>
          </w:tcPr>
          <w:p w14:paraId="5BE6B744" w14:textId="77777777" w:rsidR="00C716A4" w:rsidRPr="004019EA" w:rsidRDefault="00C716A4" w:rsidP="00CE7E4C">
            <w:pPr>
              <w:spacing w:line="276" w:lineRule="auto"/>
              <w:jc w:val="both"/>
              <w:rPr>
                <w:rFonts w:ascii="Arial" w:hAnsi="Arial" w:cs="Arial"/>
              </w:rPr>
            </w:pPr>
            <w:r w:rsidRPr="004019EA">
              <w:rPr>
                <w:rFonts w:ascii="Arial" w:hAnsi="Arial" w:cs="Arial"/>
              </w:rPr>
              <w:t>Dobrova – Polhov Gradec</w:t>
            </w:r>
          </w:p>
        </w:tc>
        <w:tc>
          <w:tcPr>
            <w:tcW w:w="4531" w:type="dxa"/>
          </w:tcPr>
          <w:p w14:paraId="3D1184DE" w14:textId="77777777" w:rsidR="00C716A4" w:rsidRPr="00ED7512" w:rsidRDefault="00ED7512" w:rsidP="00CE7E4C">
            <w:pPr>
              <w:spacing w:line="276" w:lineRule="auto"/>
              <w:jc w:val="center"/>
              <w:rPr>
                <w:rFonts w:ascii="Arial" w:hAnsi="Arial" w:cs="Arial"/>
              </w:rPr>
            </w:pPr>
            <w:r w:rsidRPr="00ED7512">
              <w:rPr>
                <w:rFonts w:ascii="Arial" w:hAnsi="Arial" w:cs="Arial"/>
              </w:rPr>
              <w:t>79,4</w:t>
            </w:r>
          </w:p>
        </w:tc>
      </w:tr>
      <w:tr w:rsidR="00C716A4" w:rsidRPr="004019EA" w14:paraId="4B95AFDB" w14:textId="77777777" w:rsidTr="00C716A4">
        <w:tc>
          <w:tcPr>
            <w:tcW w:w="4531" w:type="dxa"/>
          </w:tcPr>
          <w:p w14:paraId="31694CFF" w14:textId="77777777" w:rsidR="00C716A4" w:rsidRPr="004019EA" w:rsidRDefault="00C716A4" w:rsidP="00CE7E4C">
            <w:pPr>
              <w:spacing w:line="276" w:lineRule="auto"/>
              <w:jc w:val="both"/>
              <w:rPr>
                <w:rFonts w:ascii="Arial" w:hAnsi="Arial" w:cs="Arial"/>
              </w:rPr>
            </w:pPr>
            <w:r w:rsidRPr="004019EA">
              <w:rPr>
                <w:rFonts w:ascii="Arial" w:hAnsi="Arial" w:cs="Arial"/>
              </w:rPr>
              <w:t>Horjul</w:t>
            </w:r>
          </w:p>
        </w:tc>
        <w:tc>
          <w:tcPr>
            <w:tcW w:w="4531" w:type="dxa"/>
          </w:tcPr>
          <w:p w14:paraId="2FBB9D7E" w14:textId="77777777" w:rsidR="00C716A4" w:rsidRPr="00ED7512" w:rsidRDefault="00ED7512" w:rsidP="00CE7E4C">
            <w:pPr>
              <w:spacing w:line="276" w:lineRule="auto"/>
              <w:jc w:val="center"/>
              <w:rPr>
                <w:rFonts w:ascii="Arial" w:hAnsi="Arial" w:cs="Arial"/>
              </w:rPr>
            </w:pPr>
            <w:r w:rsidRPr="00ED7512">
              <w:rPr>
                <w:rFonts w:ascii="Arial" w:hAnsi="Arial" w:cs="Arial"/>
              </w:rPr>
              <w:t>81,8</w:t>
            </w:r>
          </w:p>
        </w:tc>
      </w:tr>
      <w:tr w:rsidR="00C716A4" w:rsidRPr="004019EA" w14:paraId="2988F280" w14:textId="77777777" w:rsidTr="00C716A4">
        <w:tc>
          <w:tcPr>
            <w:tcW w:w="4531" w:type="dxa"/>
          </w:tcPr>
          <w:p w14:paraId="48885088" w14:textId="77777777" w:rsidR="00C716A4" w:rsidRPr="004019EA" w:rsidRDefault="00C716A4" w:rsidP="00CE7E4C">
            <w:pPr>
              <w:spacing w:line="276" w:lineRule="auto"/>
              <w:jc w:val="both"/>
              <w:rPr>
                <w:rFonts w:ascii="Arial" w:hAnsi="Arial" w:cs="Arial"/>
              </w:rPr>
            </w:pPr>
            <w:r w:rsidRPr="004019EA">
              <w:rPr>
                <w:rFonts w:ascii="Arial" w:hAnsi="Arial" w:cs="Arial"/>
              </w:rPr>
              <w:t>Log</w:t>
            </w:r>
            <w:r w:rsidR="00ED7512">
              <w:rPr>
                <w:rFonts w:ascii="Arial" w:hAnsi="Arial" w:cs="Arial"/>
              </w:rPr>
              <w:t>-</w:t>
            </w:r>
            <w:r w:rsidRPr="004019EA">
              <w:rPr>
                <w:rFonts w:ascii="Arial" w:hAnsi="Arial" w:cs="Arial"/>
              </w:rPr>
              <w:t>Dragomer</w:t>
            </w:r>
          </w:p>
        </w:tc>
        <w:tc>
          <w:tcPr>
            <w:tcW w:w="4531" w:type="dxa"/>
          </w:tcPr>
          <w:p w14:paraId="3086416E" w14:textId="77777777" w:rsidR="00C716A4" w:rsidRPr="00ED7512" w:rsidRDefault="00ED7512" w:rsidP="00CE7E4C">
            <w:pPr>
              <w:spacing w:line="276" w:lineRule="auto"/>
              <w:jc w:val="center"/>
              <w:rPr>
                <w:rFonts w:ascii="Arial" w:hAnsi="Arial" w:cs="Arial"/>
              </w:rPr>
            </w:pPr>
            <w:r w:rsidRPr="00ED7512">
              <w:rPr>
                <w:rFonts w:ascii="Arial" w:hAnsi="Arial" w:cs="Arial"/>
              </w:rPr>
              <w:t>76,9</w:t>
            </w:r>
          </w:p>
        </w:tc>
      </w:tr>
      <w:tr w:rsidR="00C716A4" w:rsidRPr="004019EA" w14:paraId="514FE0CB" w14:textId="77777777" w:rsidTr="00C716A4">
        <w:tc>
          <w:tcPr>
            <w:tcW w:w="4531" w:type="dxa"/>
          </w:tcPr>
          <w:p w14:paraId="05CBF4AA" w14:textId="77777777" w:rsidR="00C716A4" w:rsidRPr="004019EA" w:rsidRDefault="00C716A4" w:rsidP="00CE7E4C">
            <w:pPr>
              <w:spacing w:line="276" w:lineRule="auto"/>
              <w:jc w:val="both"/>
              <w:rPr>
                <w:rFonts w:ascii="Arial" w:hAnsi="Arial" w:cs="Arial"/>
              </w:rPr>
            </w:pPr>
            <w:r w:rsidRPr="004019EA">
              <w:rPr>
                <w:rFonts w:ascii="Arial" w:hAnsi="Arial" w:cs="Arial"/>
              </w:rPr>
              <w:t>Logatec</w:t>
            </w:r>
          </w:p>
        </w:tc>
        <w:tc>
          <w:tcPr>
            <w:tcW w:w="4531" w:type="dxa"/>
          </w:tcPr>
          <w:p w14:paraId="7C75E144" w14:textId="77777777" w:rsidR="00C716A4" w:rsidRPr="00ED7512" w:rsidRDefault="00ED7512" w:rsidP="00CE7E4C">
            <w:pPr>
              <w:spacing w:line="276" w:lineRule="auto"/>
              <w:jc w:val="center"/>
              <w:rPr>
                <w:rFonts w:ascii="Arial" w:hAnsi="Arial" w:cs="Arial"/>
              </w:rPr>
            </w:pPr>
            <w:r w:rsidRPr="00ED7512">
              <w:rPr>
                <w:rFonts w:ascii="Arial" w:hAnsi="Arial" w:cs="Arial"/>
              </w:rPr>
              <w:t>79,2</w:t>
            </w:r>
          </w:p>
        </w:tc>
      </w:tr>
      <w:tr w:rsidR="00C716A4" w:rsidRPr="004019EA" w14:paraId="13A74DA7" w14:textId="77777777" w:rsidTr="00C716A4">
        <w:tc>
          <w:tcPr>
            <w:tcW w:w="4531" w:type="dxa"/>
          </w:tcPr>
          <w:p w14:paraId="006FA597" w14:textId="77777777" w:rsidR="00C716A4" w:rsidRPr="004019EA" w:rsidRDefault="00C716A4" w:rsidP="00CE7E4C">
            <w:pPr>
              <w:spacing w:line="276" w:lineRule="auto"/>
              <w:jc w:val="both"/>
              <w:rPr>
                <w:rFonts w:ascii="Arial" w:hAnsi="Arial" w:cs="Arial"/>
              </w:rPr>
            </w:pPr>
            <w:r w:rsidRPr="004019EA">
              <w:rPr>
                <w:rFonts w:ascii="Arial" w:hAnsi="Arial" w:cs="Arial"/>
              </w:rPr>
              <w:t>Vrhnika</w:t>
            </w:r>
          </w:p>
        </w:tc>
        <w:tc>
          <w:tcPr>
            <w:tcW w:w="4531" w:type="dxa"/>
          </w:tcPr>
          <w:p w14:paraId="56303D2A" w14:textId="77777777" w:rsidR="00C716A4" w:rsidRPr="00ED7512" w:rsidRDefault="00ED7512" w:rsidP="00CE7E4C">
            <w:pPr>
              <w:spacing w:line="276" w:lineRule="auto"/>
              <w:jc w:val="center"/>
              <w:rPr>
                <w:rFonts w:ascii="Arial" w:hAnsi="Arial" w:cs="Arial"/>
              </w:rPr>
            </w:pPr>
            <w:r w:rsidRPr="00ED7512">
              <w:rPr>
                <w:rFonts w:ascii="Arial" w:hAnsi="Arial" w:cs="Arial"/>
              </w:rPr>
              <w:t>82,6</w:t>
            </w:r>
          </w:p>
        </w:tc>
      </w:tr>
    </w:tbl>
    <w:p w14:paraId="145AB2FF" w14:textId="77777777" w:rsidR="00CE7E4C" w:rsidRPr="004019EA" w:rsidRDefault="00CE7E4C" w:rsidP="00CE7E4C">
      <w:pPr>
        <w:spacing w:line="276" w:lineRule="auto"/>
        <w:jc w:val="both"/>
        <w:rPr>
          <w:rFonts w:ascii="Arial" w:hAnsi="Arial" w:cs="Arial"/>
          <w:b/>
        </w:rPr>
      </w:pPr>
    </w:p>
    <w:sectPr w:rsidR="00CE7E4C" w:rsidRPr="004019E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267E" w14:textId="77777777" w:rsidR="003B31E0" w:rsidRDefault="003B31E0" w:rsidP="003B31E0">
      <w:pPr>
        <w:spacing w:after="0" w:line="240" w:lineRule="auto"/>
      </w:pPr>
      <w:r>
        <w:separator/>
      </w:r>
    </w:p>
  </w:endnote>
  <w:endnote w:type="continuationSeparator" w:id="0">
    <w:p w14:paraId="235EBE7D" w14:textId="77777777" w:rsidR="003B31E0" w:rsidRDefault="003B31E0" w:rsidP="003B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B029" w14:textId="77777777" w:rsidR="00CE7E4C" w:rsidRDefault="00CE7E4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B332" w14:textId="77777777" w:rsidR="007B2937" w:rsidRDefault="007B2937">
    <w:pPr>
      <w:pStyle w:val="Noga"/>
      <w:rPr>
        <w:rFonts w:ascii="Arial" w:hAnsi="Arial" w:cs="Arial"/>
        <w:sz w:val="20"/>
        <w:szCs w:val="20"/>
      </w:rPr>
    </w:pPr>
    <w:r w:rsidRPr="007B2937">
      <w:rPr>
        <w:rFonts w:ascii="Arial" w:hAnsi="Arial" w:cs="Arial"/>
        <w:sz w:val="20"/>
        <w:szCs w:val="20"/>
      </w:rPr>
      <w:t>Več informacij: Vesna Škrbec, svetovalka za komuniciranje v programu DORA</w:t>
    </w:r>
    <w:r>
      <w:rPr>
        <w:rFonts w:ascii="Arial" w:hAnsi="Arial" w:cs="Arial"/>
        <w:sz w:val="20"/>
        <w:szCs w:val="20"/>
      </w:rPr>
      <w:t>;</w:t>
    </w:r>
  </w:p>
  <w:p w14:paraId="46EF45D4" w14:textId="77777777" w:rsidR="00CE7E4C" w:rsidRPr="007B2937" w:rsidRDefault="007B2937">
    <w:pPr>
      <w:pStyle w:val="Noga"/>
      <w:rPr>
        <w:rFonts w:ascii="Arial" w:hAnsi="Arial" w:cs="Arial"/>
        <w:sz w:val="20"/>
        <w:szCs w:val="20"/>
      </w:rPr>
    </w:pPr>
    <w:r w:rsidRPr="007B2937">
      <w:rPr>
        <w:rFonts w:ascii="Arial" w:hAnsi="Arial" w:cs="Arial"/>
        <w:sz w:val="20"/>
        <w:szCs w:val="20"/>
      </w:rPr>
      <w:t>E:</w:t>
    </w:r>
    <w:hyperlink r:id="rId1" w:history="1">
      <w:r w:rsidRPr="007B2937">
        <w:rPr>
          <w:rStyle w:val="Hiperpovezava"/>
          <w:rFonts w:ascii="Arial" w:hAnsi="Arial" w:cs="Arial"/>
          <w:sz w:val="20"/>
          <w:szCs w:val="20"/>
        </w:rPr>
        <w:t>vskrbec@onko-i.si</w:t>
      </w:r>
    </w:hyperlink>
    <w:r w:rsidRPr="007B2937">
      <w:rPr>
        <w:rFonts w:ascii="Arial" w:hAnsi="Arial" w:cs="Arial"/>
        <w:sz w:val="20"/>
        <w:szCs w:val="20"/>
      </w:rPr>
      <w:t>; T: 01 587 90 46</w:t>
    </w:r>
  </w:p>
  <w:p w14:paraId="6456A67D" w14:textId="77777777" w:rsidR="00CE7E4C" w:rsidRPr="007B2937" w:rsidRDefault="00CE7E4C">
    <w:pPr>
      <w:pStyle w:val="Nog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D45E" w14:textId="77777777" w:rsidR="00CE7E4C" w:rsidRDefault="00CE7E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B225" w14:textId="77777777" w:rsidR="003B31E0" w:rsidRDefault="003B31E0" w:rsidP="003B31E0">
      <w:pPr>
        <w:spacing w:after="0" w:line="240" w:lineRule="auto"/>
      </w:pPr>
      <w:r>
        <w:separator/>
      </w:r>
    </w:p>
  </w:footnote>
  <w:footnote w:type="continuationSeparator" w:id="0">
    <w:p w14:paraId="1E55A40A" w14:textId="77777777" w:rsidR="003B31E0" w:rsidRDefault="003B31E0" w:rsidP="003B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CEA1" w14:textId="77777777" w:rsidR="00CE7E4C" w:rsidRDefault="00CE7E4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BE14" w14:textId="77777777" w:rsidR="003B31E0" w:rsidRDefault="003B31E0">
    <w:pPr>
      <w:pStyle w:val="Glava"/>
    </w:pPr>
    <w:r>
      <w:rPr>
        <w:noProof/>
        <w:lang w:eastAsia="sl-SI"/>
      </w:rPr>
      <w:drawing>
        <wp:inline distT="0" distB="0" distL="0" distR="0" wp14:anchorId="2F29BFFC" wp14:editId="6FB6F06C">
          <wp:extent cx="1711648" cy="1357200"/>
          <wp:effectExtent l="0" t="0" r="317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RA_logo_SLO_CMYK_leva porez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648" cy="1357200"/>
                  </a:xfrm>
                  <a:prstGeom prst="rect">
                    <a:avLst/>
                  </a:prstGeom>
                </pic:spPr>
              </pic:pic>
            </a:graphicData>
          </a:graphic>
        </wp:inline>
      </w:drawing>
    </w:r>
  </w:p>
  <w:p w14:paraId="44A3F0DD" w14:textId="77777777" w:rsidR="003B31E0" w:rsidRDefault="003B31E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9A7E" w14:textId="77777777" w:rsidR="00CE7E4C" w:rsidRDefault="00CE7E4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5979"/>
    <w:multiLevelType w:val="multilevel"/>
    <w:tmpl w:val="60F0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29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9C"/>
    <w:rsid w:val="00046D34"/>
    <w:rsid w:val="0007201F"/>
    <w:rsid w:val="000D5A84"/>
    <w:rsid w:val="000F0D95"/>
    <w:rsid w:val="001625F0"/>
    <w:rsid w:val="001E6F33"/>
    <w:rsid w:val="00272E9D"/>
    <w:rsid w:val="003B31E0"/>
    <w:rsid w:val="004019EA"/>
    <w:rsid w:val="00433C6E"/>
    <w:rsid w:val="004857E0"/>
    <w:rsid w:val="005A2D21"/>
    <w:rsid w:val="005F7799"/>
    <w:rsid w:val="006A2647"/>
    <w:rsid w:val="006D3AC4"/>
    <w:rsid w:val="007251E3"/>
    <w:rsid w:val="00773091"/>
    <w:rsid w:val="007B2937"/>
    <w:rsid w:val="00850F9B"/>
    <w:rsid w:val="008F7A8E"/>
    <w:rsid w:val="009F2036"/>
    <w:rsid w:val="00AD2CAC"/>
    <w:rsid w:val="00BF7B53"/>
    <w:rsid w:val="00C5299C"/>
    <w:rsid w:val="00C716A4"/>
    <w:rsid w:val="00CE7E4C"/>
    <w:rsid w:val="00E4193D"/>
    <w:rsid w:val="00E87B87"/>
    <w:rsid w:val="00EA6E0E"/>
    <w:rsid w:val="00ED7512"/>
    <w:rsid w:val="00EF333D"/>
    <w:rsid w:val="00F36F9D"/>
    <w:rsid w:val="00F47F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D6F8"/>
  <w15:chartTrackingRefBased/>
  <w15:docId w15:val="{AC40F334-EE5B-4925-8EBE-DDDBDA29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87B87"/>
    <w:pPr>
      <w:spacing w:after="0" w:line="240" w:lineRule="auto"/>
      <w:ind w:left="720"/>
    </w:pPr>
    <w:rPr>
      <w:rFonts w:ascii="Calibri" w:hAnsi="Calibri" w:cs="Calibri"/>
      <w:lang w:eastAsia="sl-SI"/>
    </w:rPr>
  </w:style>
  <w:style w:type="table" w:styleId="Tabelamrea">
    <w:name w:val="Table Grid"/>
    <w:basedOn w:val="Navadnatabela"/>
    <w:uiPriority w:val="39"/>
    <w:rsid w:val="00C7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B31E0"/>
    <w:pPr>
      <w:tabs>
        <w:tab w:val="center" w:pos="4536"/>
        <w:tab w:val="right" w:pos="9072"/>
      </w:tabs>
      <w:spacing w:after="0" w:line="240" w:lineRule="auto"/>
    </w:pPr>
  </w:style>
  <w:style w:type="character" w:customStyle="1" w:styleId="GlavaZnak">
    <w:name w:val="Glava Znak"/>
    <w:basedOn w:val="Privzetapisavaodstavka"/>
    <w:link w:val="Glava"/>
    <w:uiPriority w:val="99"/>
    <w:rsid w:val="003B31E0"/>
  </w:style>
  <w:style w:type="paragraph" w:styleId="Noga">
    <w:name w:val="footer"/>
    <w:basedOn w:val="Navaden"/>
    <w:link w:val="NogaZnak"/>
    <w:uiPriority w:val="99"/>
    <w:unhideWhenUsed/>
    <w:rsid w:val="003B31E0"/>
    <w:pPr>
      <w:tabs>
        <w:tab w:val="center" w:pos="4536"/>
        <w:tab w:val="right" w:pos="9072"/>
      </w:tabs>
      <w:spacing w:after="0" w:line="240" w:lineRule="auto"/>
    </w:pPr>
  </w:style>
  <w:style w:type="character" w:customStyle="1" w:styleId="NogaZnak">
    <w:name w:val="Noga Znak"/>
    <w:basedOn w:val="Privzetapisavaodstavka"/>
    <w:link w:val="Noga"/>
    <w:uiPriority w:val="99"/>
    <w:rsid w:val="003B31E0"/>
  </w:style>
  <w:style w:type="paragraph" w:styleId="Navadensplet">
    <w:name w:val="Normal (Web)"/>
    <w:basedOn w:val="Navaden"/>
    <w:uiPriority w:val="99"/>
    <w:semiHidden/>
    <w:unhideWhenUsed/>
    <w:rsid w:val="004019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019EA"/>
    <w:rPr>
      <w:b/>
      <w:bCs/>
    </w:rPr>
  </w:style>
  <w:style w:type="character" w:styleId="Hiperpovezava">
    <w:name w:val="Hyperlink"/>
    <w:basedOn w:val="Privzetapisavaodstavka"/>
    <w:uiPriority w:val="99"/>
    <w:unhideWhenUsed/>
    <w:rsid w:val="007B2937"/>
    <w:rPr>
      <w:color w:val="0563C1" w:themeColor="hyperlink"/>
      <w:u w:val="single"/>
    </w:rPr>
  </w:style>
  <w:style w:type="character" w:styleId="Nerazreenaomemba">
    <w:name w:val="Unresolved Mention"/>
    <w:basedOn w:val="Privzetapisavaodstavka"/>
    <w:uiPriority w:val="99"/>
    <w:semiHidden/>
    <w:unhideWhenUsed/>
    <w:rsid w:val="007B2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06386">
      <w:bodyDiv w:val="1"/>
      <w:marLeft w:val="0"/>
      <w:marRight w:val="0"/>
      <w:marTop w:val="0"/>
      <w:marBottom w:val="0"/>
      <w:divBdr>
        <w:top w:val="none" w:sz="0" w:space="0" w:color="auto"/>
        <w:left w:val="none" w:sz="0" w:space="0" w:color="auto"/>
        <w:bottom w:val="none" w:sz="0" w:space="0" w:color="auto"/>
        <w:right w:val="none" w:sz="0" w:space="0" w:color="auto"/>
      </w:divBdr>
    </w:div>
    <w:div w:id="1523588653">
      <w:bodyDiv w:val="1"/>
      <w:marLeft w:val="0"/>
      <w:marRight w:val="0"/>
      <w:marTop w:val="0"/>
      <w:marBottom w:val="0"/>
      <w:divBdr>
        <w:top w:val="none" w:sz="0" w:space="0" w:color="auto"/>
        <w:left w:val="none" w:sz="0" w:space="0" w:color="auto"/>
        <w:bottom w:val="none" w:sz="0" w:space="0" w:color="auto"/>
        <w:right w:val="none" w:sz="0" w:space="0" w:color="auto"/>
      </w:divBdr>
    </w:div>
    <w:div w:id="1881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skrbec@onko-i.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Škrbec Vesna</dc:creator>
  <cp:keywords/>
  <dc:description/>
  <cp:lastModifiedBy>Erika Zakelj</cp:lastModifiedBy>
  <cp:revision>2</cp:revision>
  <dcterms:created xsi:type="dcterms:W3CDTF">2025-12-18T07:58:00Z</dcterms:created>
  <dcterms:modified xsi:type="dcterms:W3CDTF">2025-12-18T07:58:00Z</dcterms:modified>
</cp:coreProperties>
</file>