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5AD" w:rsidRPr="00D940D8" w:rsidRDefault="00995FF4" w:rsidP="00D940D8">
      <w:pPr>
        <w:jc w:val="both"/>
        <w:rPr>
          <w:rFonts w:cstheme="minorHAnsi"/>
          <w:b/>
        </w:rPr>
      </w:pPr>
      <w:r w:rsidRPr="00F67367">
        <w:rPr>
          <w:rFonts w:cstheme="minorHAnsi"/>
          <w:noProof/>
          <w:lang w:eastAsia="sl-SI"/>
        </w:rPr>
        <w:drawing>
          <wp:inline distT="0" distB="0" distL="0" distR="0" wp14:anchorId="26A7DAF9" wp14:editId="108839E8">
            <wp:extent cx="1219200" cy="323850"/>
            <wp:effectExtent l="0" t="0" r="0" b="0"/>
            <wp:docPr id="1" name="Slika 1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367">
        <w:rPr>
          <w:rFonts w:cstheme="minorHAnsi"/>
          <w:b/>
        </w:rPr>
        <w:t xml:space="preserve">    </w:t>
      </w:r>
      <w:r w:rsidRPr="00F67367">
        <w:rPr>
          <w:rFonts w:cstheme="minorHAnsi"/>
          <w:b/>
        </w:rPr>
        <w:tab/>
      </w:r>
      <w:r w:rsidRPr="00F67367">
        <w:rPr>
          <w:rFonts w:cstheme="minorHAnsi"/>
          <w:b/>
          <w:sz w:val="44"/>
          <w:szCs w:val="44"/>
        </w:rPr>
        <w:t>Obvešča</w:t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>
        <w:rPr>
          <w:rFonts w:cstheme="minorHAnsi"/>
          <w:b/>
          <w:sz w:val="44"/>
          <w:szCs w:val="44"/>
        </w:rPr>
        <w:tab/>
      </w:r>
      <w:r w:rsidR="00F07F14">
        <w:rPr>
          <w:rFonts w:cstheme="minorHAnsi"/>
          <w:b/>
        </w:rPr>
        <w:t>oktober</w:t>
      </w:r>
      <w:r>
        <w:rPr>
          <w:rFonts w:cstheme="minorHAnsi"/>
          <w:b/>
        </w:rPr>
        <w:t xml:space="preserve"> 2019</w:t>
      </w:r>
      <w:r w:rsidR="00584CBB">
        <w:rPr>
          <w:rFonts w:cstheme="minorHAnsi"/>
          <w:b/>
        </w:rPr>
        <w:pict>
          <v:rect id="_x0000_i1025" style="width:0;height:1.5pt" o:hralign="center" o:hrstd="t" o:hr="t" fillcolor="#a0a0a0" stroked="f"/>
        </w:pict>
      </w:r>
    </w:p>
    <w:p w:rsidR="00D65DE2" w:rsidRDefault="00F07F14" w:rsidP="00D65DE2">
      <w:pPr>
        <w:jc w:val="both"/>
        <w:rPr>
          <w:b/>
          <w:color w:val="F79646" w:themeColor="accent6"/>
          <w:sz w:val="28"/>
          <w:szCs w:val="28"/>
        </w:rPr>
      </w:pPr>
      <w:r w:rsidRPr="00F07F14">
        <w:rPr>
          <w:b/>
          <w:color w:val="F79646" w:themeColor="accent6"/>
          <w:sz w:val="28"/>
          <w:szCs w:val="28"/>
        </w:rPr>
        <w:t>Bliža se rok za oddajo podatkov za četrtletno poročanj</w:t>
      </w:r>
      <w:bookmarkStart w:id="0" w:name="_GoBack"/>
      <w:bookmarkEnd w:id="0"/>
      <w:r w:rsidRPr="00F07F14">
        <w:rPr>
          <w:b/>
          <w:color w:val="F79646" w:themeColor="accent6"/>
          <w:sz w:val="28"/>
          <w:szCs w:val="28"/>
        </w:rPr>
        <w:t>e</w:t>
      </w:r>
    </w:p>
    <w:p w:rsidR="00F07F14" w:rsidRPr="00F07F14" w:rsidRDefault="00F07F14" w:rsidP="00F07F14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55555"/>
          <w:sz w:val="21"/>
          <w:szCs w:val="21"/>
          <w:lang w:val="en" w:eastAsia="sl-SI"/>
        </w:rPr>
      </w:pPr>
      <w:r w:rsidRPr="00F07F14">
        <w:rPr>
          <w:rFonts w:ascii="Helvetica" w:eastAsia="Times New Roman" w:hAnsi="Helvetica" w:cs="Helvetica"/>
          <w:noProof/>
          <w:color w:val="555555"/>
          <w:sz w:val="21"/>
          <w:szCs w:val="21"/>
          <w:lang w:val="en" w:eastAsia="sl-SI"/>
        </w:rPr>
        <w:drawing>
          <wp:inline distT="0" distB="0" distL="0" distR="0">
            <wp:extent cx="2381250" cy="1190625"/>
            <wp:effectExtent l="0" t="0" r="0" b="9525"/>
            <wp:docPr id="3" name="Slika 3" descr="četrtletno poroč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etrtletno poročan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160" cy="120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F14" w:rsidRDefault="00F07F14" w:rsidP="00503698">
      <w:pPr>
        <w:jc w:val="both"/>
      </w:pPr>
      <w:r w:rsidRPr="00F07F14">
        <w:t xml:space="preserve">Ponovno bo treba predložiti podatke za četrtletno poročanje o poslovanju poslovnih subjektov. Zavezanci boste morali podatke predložiti do </w:t>
      </w:r>
      <w:r w:rsidRPr="00584CBB">
        <w:rPr>
          <w:b/>
        </w:rPr>
        <w:t>31. oktobra 2019.</w:t>
      </w:r>
    </w:p>
    <w:p w:rsidR="00F07F14" w:rsidRDefault="00F07F14" w:rsidP="00F07F14">
      <w:pPr>
        <w:jc w:val="both"/>
      </w:pPr>
      <w:r>
        <w:t>Statistični urad Republike Slovenije (SURS), Banka Slovenije (BS) in Agencija za javnopravne evidence in storitve (AJPES) že od leta 2011 izvajajo Četrtletno raziskovanje o poslovanju poslovnih subjektov (POSL-P/ČL). To poteka v elektronski obliki in sicer prek spletne aplikacije ČPPS.</w:t>
      </w:r>
    </w:p>
    <w:p w:rsidR="00F07F14" w:rsidRPr="00584CBB" w:rsidRDefault="00F07F14" w:rsidP="00F07F14">
      <w:pPr>
        <w:jc w:val="both"/>
        <w:rPr>
          <w:b/>
          <w:color w:val="E36C0A" w:themeColor="accent6" w:themeShade="BF"/>
        </w:rPr>
      </w:pPr>
      <w:r w:rsidRPr="00584CBB">
        <w:rPr>
          <w:b/>
          <w:color w:val="E36C0A" w:themeColor="accent6" w:themeShade="BF"/>
        </w:rPr>
        <w:t>Poslovni subjekti posredujejo naslednje podatke:</w:t>
      </w:r>
    </w:p>
    <w:p w:rsidR="00F07F14" w:rsidRDefault="00F07F14" w:rsidP="00F07F14">
      <w:pPr>
        <w:jc w:val="both"/>
      </w:pPr>
      <w:r>
        <w:t>•podatke iz bilance stanja;</w:t>
      </w:r>
    </w:p>
    <w:p w:rsidR="00F07F14" w:rsidRDefault="00F07F14" w:rsidP="00F07F14">
      <w:pPr>
        <w:jc w:val="both"/>
      </w:pPr>
      <w:r>
        <w:t>•podatke iz izkaza poslovnega izida;</w:t>
      </w:r>
    </w:p>
    <w:p w:rsidR="00F07F14" w:rsidRDefault="00F07F14" w:rsidP="00F07F14">
      <w:pPr>
        <w:jc w:val="both"/>
      </w:pPr>
      <w:r>
        <w:t>•podatke o investicijah v osnovna sredstva in naložbene nepremičnine;</w:t>
      </w:r>
    </w:p>
    <w:p w:rsidR="00F07F14" w:rsidRDefault="00F07F14" w:rsidP="00F07F14">
      <w:pPr>
        <w:jc w:val="both"/>
      </w:pPr>
      <w:r>
        <w:t>•druge podatke o poslovanju ter</w:t>
      </w:r>
    </w:p>
    <w:p w:rsidR="00F07F14" w:rsidRDefault="00F07F14" w:rsidP="00F07F14">
      <w:pPr>
        <w:jc w:val="both"/>
      </w:pPr>
      <w:r>
        <w:t>•pri poročanju za zadnje četrtletje tudi letni dodatek.</w:t>
      </w:r>
    </w:p>
    <w:p w:rsidR="00F07F14" w:rsidRPr="00584CBB" w:rsidRDefault="00F07F14" w:rsidP="00F07F14">
      <w:pPr>
        <w:jc w:val="both"/>
        <w:rPr>
          <w:b/>
          <w:color w:val="E36C0A" w:themeColor="accent6" w:themeShade="BF"/>
        </w:rPr>
      </w:pPr>
      <w:r w:rsidRPr="00584CBB">
        <w:rPr>
          <w:b/>
          <w:color w:val="E36C0A" w:themeColor="accent6" w:themeShade="BF"/>
        </w:rPr>
        <w:t>Kdo so zavezanci za četrtletno poročanje?</w:t>
      </w:r>
    </w:p>
    <w:p w:rsidR="00F07F14" w:rsidRDefault="00F07F14" w:rsidP="00F07F14">
      <w:pPr>
        <w:jc w:val="both"/>
      </w:pPr>
      <w:r>
        <w:t>Podatke za Četrtletno raziskovanje o poslovanju poslovnih subjektov morajo predložiti gospodarske družbe, zadruge in podružnice tujih podjetij z več kot 49 zaposlenimi in del poslovnih subjektov z 49 in manj zaposlenimi – te določi SURS z metodo vzorčenja.</w:t>
      </w:r>
    </w:p>
    <w:p w:rsidR="00F07F14" w:rsidRDefault="00F07F14" w:rsidP="00F07F14">
      <w:pPr>
        <w:jc w:val="both"/>
      </w:pPr>
      <w:r>
        <w:t xml:space="preserve">Če ste zavezanec v tekočem poročevalskem obdobju, lahko preverite z vpisom matične številke na spletni strani </w:t>
      </w:r>
      <w:hyperlink r:id="rId8" w:history="1">
        <w:r w:rsidRPr="00584CBB">
          <w:rPr>
            <w:rStyle w:val="Hiperpovezava"/>
          </w:rPr>
          <w:t>AJ</w:t>
        </w:r>
        <w:r w:rsidRPr="00584CBB">
          <w:rPr>
            <w:rStyle w:val="Hiperpovezava"/>
          </w:rPr>
          <w:t>P</w:t>
        </w:r>
        <w:r w:rsidRPr="00584CBB">
          <w:rPr>
            <w:rStyle w:val="Hiperpovezava"/>
          </w:rPr>
          <w:t>ES</w:t>
        </w:r>
      </w:hyperlink>
      <w:r>
        <w:t>.</w:t>
      </w:r>
    </w:p>
    <w:p w:rsidR="00F07F14" w:rsidRPr="00584CBB" w:rsidRDefault="00F07F14" w:rsidP="00F07F14">
      <w:pPr>
        <w:jc w:val="both"/>
        <w:rPr>
          <w:b/>
          <w:color w:val="E36C0A" w:themeColor="accent6" w:themeShade="BF"/>
        </w:rPr>
      </w:pPr>
      <w:r w:rsidRPr="00584CBB">
        <w:rPr>
          <w:b/>
          <w:color w:val="E36C0A" w:themeColor="accent6" w:themeShade="BF"/>
        </w:rPr>
        <w:t>Kakšen je namen zbiranja podatkov?</w:t>
      </w:r>
    </w:p>
    <w:p w:rsidR="00F07F14" w:rsidRDefault="00F07F14" w:rsidP="00F07F14">
      <w:pPr>
        <w:jc w:val="both"/>
      </w:pPr>
      <w:r>
        <w:t>Namen zbiranja podatkov je naslednji:</w:t>
      </w:r>
    </w:p>
    <w:p w:rsidR="00F07F14" w:rsidRDefault="00F07F14" w:rsidP="00F07F14">
      <w:pPr>
        <w:jc w:val="both"/>
      </w:pPr>
      <w:r>
        <w:t>•zagotavljanje podatkov za spremljanje premoženjsko – finančnega položaja in poslovnega izida poslovnih subjektov zaradi izračunavanja četrtletnega bruto domačega proizvoda;</w:t>
      </w:r>
    </w:p>
    <w:p w:rsidR="00F07F14" w:rsidRDefault="00F07F14" w:rsidP="00F07F14">
      <w:pPr>
        <w:jc w:val="both"/>
      </w:pPr>
      <w:r>
        <w:t>•analiza konsistentnosti med nefinančnimi in finančnimi sektorskimi računi in priprava celovitih četrtletnih institucionalnih sektorskih računov Slovenije;</w:t>
      </w:r>
    </w:p>
    <w:p w:rsidR="00503698" w:rsidRDefault="00F07F14" w:rsidP="00F07F14">
      <w:pPr>
        <w:jc w:val="both"/>
        <w:rPr>
          <w:b/>
        </w:rPr>
      </w:pPr>
      <w:r>
        <w:t>•izračun kazalnikov poslovanja nefinančnih družb ter za zagotavljanje kakovostnih in ažurnih podatkov o poslovanju poslovnih subjektov, kar državnim institucijam omogoča spremljanje gospodarskega stanja in predlaganje ukrepov tekočih gospodarskih politik.</w:t>
      </w:r>
      <w:r w:rsidR="00D65DE2">
        <w:rPr>
          <w:b/>
        </w:rPr>
        <w:t xml:space="preserve"> </w:t>
      </w:r>
    </w:p>
    <w:p w:rsidR="008C698E" w:rsidRPr="00D65DE2" w:rsidRDefault="008C698E" w:rsidP="00503698">
      <w:pPr>
        <w:jc w:val="both"/>
      </w:pPr>
    </w:p>
    <w:sectPr w:rsidR="008C698E" w:rsidRPr="00D65DE2" w:rsidSect="00995FF4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96E"/>
    <w:multiLevelType w:val="multilevel"/>
    <w:tmpl w:val="C7EA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17964"/>
    <w:multiLevelType w:val="hybridMultilevel"/>
    <w:tmpl w:val="9124A76E"/>
    <w:lvl w:ilvl="0" w:tplc="5EB84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AD"/>
    <w:rsid w:val="000E64DB"/>
    <w:rsid w:val="00170660"/>
    <w:rsid w:val="0020069D"/>
    <w:rsid w:val="002975AD"/>
    <w:rsid w:val="002D10E1"/>
    <w:rsid w:val="002F5E45"/>
    <w:rsid w:val="00356B62"/>
    <w:rsid w:val="004B68F4"/>
    <w:rsid w:val="004E4331"/>
    <w:rsid w:val="00503698"/>
    <w:rsid w:val="00584CBB"/>
    <w:rsid w:val="005E77D9"/>
    <w:rsid w:val="008124C2"/>
    <w:rsid w:val="00883255"/>
    <w:rsid w:val="008C698E"/>
    <w:rsid w:val="00902DE3"/>
    <w:rsid w:val="00995FF4"/>
    <w:rsid w:val="00A2513E"/>
    <w:rsid w:val="00B64967"/>
    <w:rsid w:val="00BA31AB"/>
    <w:rsid w:val="00D65DE2"/>
    <w:rsid w:val="00D940D8"/>
    <w:rsid w:val="00EC1ADE"/>
    <w:rsid w:val="00ED74D7"/>
    <w:rsid w:val="00F07F14"/>
    <w:rsid w:val="00F1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3ACE26"/>
  <w15:docId w15:val="{952505F1-9110-4320-8827-06AE44FD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A31A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5FF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F5E45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F5E45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902DE3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503698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03698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01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3077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3710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2E2E2"/>
                                        <w:left w:val="single" w:sz="6" w:space="23" w:color="E2E2E2"/>
                                        <w:bottom w:val="single" w:sz="6" w:space="8" w:color="E2E2E2"/>
                                        <w:right w:val="single" w:sz="6" w:space="23" w:color="E2E2E2"/>
                                      </w:divBdr>
                                      <w:divsChild>
                                        <w:div w:id="6095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9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8858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229">
              <w:marLeft w:val="0"/>
              <w:marRight w:val="0"/>
              <w:marTop w:val="0"/>
              <w:marBottom w:val="0"/>
              <w:divBdr>
                <w:top w:val="single" w:sz="6" w:space="11" w:color="D9E2E9"/>
                <w:left w:val="single" w:sz="6" w:space="11" w:color="D9E2E9"/>
                <w:bottom w:val="single" w:sz="6" w:space="11" w:color="D9E2E9"/>
                <w:right w:val="single" w:sz="6" w:space="11" w:color="D9E2E9"/>
              </w:divBdr>
              <w:divsChild>
                <w:div w:id="1648433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Statistike/Cetrtletno_porocanje/Splosno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0B6772-E392-4A5B-8762-C3C698A1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Krevh</dc:creator>
  <cp:lastModifiedBy>Martina Krevh</cp:lastModifiedBy>
  <cp:revision>2</cp:revision>
  <cp:lastPrinted>2019-10-18T10:44:00Z</cp:lastPrinted>
  <dcterms:created xsi:type="dcterms:W3CDTF">2019-10-18T10:47:00Z</dcterms:created>
  <dcterms:modified xsi:type="dcterms:W3CDTF">2019-10-18T10:47:00Z</dcterms:modified>
</cp:coreProperties>
</file>