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FF4" w:rsidRDefault="00995FF4" w:rsidP="00995FF4">
      <w:pPr>
        <w:jc w:val="both"/>
        <w:rPr>
          <w:rFonts w:cstheme="minorHAnsi"/>
          <w:b/>
        </w:rPr>
      </w:pPr>
      <w:r w:rsidRPr="00F67367">
        <w:rPr>
          <w:rFonts w:cstheme="minorHAnsi"/>
          <w:noProof/>
          <w:lang w:eastAsia="sl-SI"/>
        </w:rPr>
        <w:drawing>
          <wp:inline distT="0" distB="0" distL="0" distR="0" wp14:anchorId="72D2577E" wp14:editId="0A737C9B">
            <wp:extent cx="1219200" cy="323850"/>
            <wp:effectExtent l="0" t="0" r="0" b="0"/>
            <wp:docPr id="1" name="Slika 1" descr="AJPES-Logo-Outlook"/>
            <wp:cNvGraphicFramePr/>
            <a:graphic xmlns:a="http://schemas.openxmlformats.org/drawingml/2006/main">
              <a:graphicData uri="http://schemas.openxmlformats.org/drawingml/2006/picture">
                <pic:pic xmlns:pic="http://schemas.openxmlformats.org/drawingml/2006/picture">
                  <pic:nvPicPr>
                    <pic:cNvPr id="1" name="Slika 1" descr="AJPES-Logo-Outlook"/>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9200" cy="323850"/>
                    </a:xfrm>
                    <a:prstGeom prst="rect">
                      <a:avLst/>
                    </a:prstGeom>
                    <a:noFill/>
                    <a:ln>
                      <a:noFill/>
                    </a:ln>
                  </pic:spPr>
                </pic:pic>
              </a:graphicData>
            </a:graphic>
          </wp:inline>
        </w:drawing>
      </w:r>
      <w:r w:rsidRPr="00F67367">
        <w:rPr>
          <w:rFonts w:cstheme="minorHAnsi"/>
          <w:b/>
        </w:rPr>
        <w:t xml:space="preserve">    </w:t>
      </w:r>
      <w:r w:rsidRPr="00F67367">
        <w:rPr>
          <w:rFonts w:cstheme="minorHAnsi"/>
          <w:b/>
        </w:rPr>
        <w:tab/>
      </w:r>
      <w:r w:rsidRPr="00F67367">
        <w:rPr>
          <w:rFonts w:cstheme="minorHAnsi"/>
          <w:b/>
          <w:sz w:val="44"/>
          <w:szCs w:val="44"/>
        </w:rPr>
        <w:t>Obvešča</w:t>
      </w:r>
      <w:r w:rsidRPr="00F67367">
        <w:rPr>
          <w:rFonts w:cstheme="minorHAnsi"/>
          <w:b/>
          <w:sz w:val="44"/>
          <w:szCs w:val="44"/>
        </w:rPr>
        <w:tab/>
      </w:r>
      <w:r w:rsidRPr="00F67367">
        <w:rPr>
          <w:rFonts w:cstheme="minorHAnsi"/>
          <w:b/>
          <w:sz w:val="44"/>
          <w:szCs w:val="44"/>
        </w:rPr>
        <w:tab/>
      </w:r>
      <w:r w:rsidRPr="00F67367">
        <w:rPr>
          <w:rFonts w:cstheme="minorHAnsi"/>
          <w:b/>
          <w:sz w:val="44"/>
          <w:szCs w:val="44"/>
        </w:rPr>
        <w:tab/>
      </w:r>
      <w:r w:rsidRPr="00F67367">
        <w:rPr>
          <w:rFonts w:cstheme="minorHAnsi"/>
          <w:b/>
          <w:sz w:val="44"/>
          <w:szCs w:val="44"/>
        </w:rPr>
        <w:tab/>
      </w:r>
      <w:r w:rsidRPr="00F67367">
        <w:rPr>
          <w:rFonts w:cstheme="minorHAnsi"/>
          <w:b/>
          <w:sz w:val="44"/>
          <w:szCs w:val="44"/>
        </w:rPr>
        <w:tab/>
      </w:r>
      <w:r w:rsidRPr="00F67367">
        <w:rPr>
          <w:rFonts w:cstheme="minorHAnsi"/>
          <w:b/>
          <w:sz w:val="44"/>
          <w:szCs w:val="44"/>
        </w:rPr>
        <w:tab/>
      </w:r>
      <w:r>
        <w:rPr>
          <w:rFonts w:cstheme="minorHAnsi"/>
          <w:b/>
          <w:sz w:val="44"/>
          <w:szCs w:val="44"/>
        </w:rPr>
        <w:tab/>
      </w:r>
      <w:r>
        <w:rPr>
          <w:rFonts w:cstheme="minorHAnsi"/>
          <w:b/>
          <w:sz w:val="44"/>
          <w:szCs w:val="44"/>
        </w:rPr>
        <w:tab/>
      </w:r>
      <w:r>
        <w:rPr>
          <w:rFonts w:cstheme="minorHAnsi"/>
          <w:b/>
        </w:rPr>
        <w:t>Marec 2019</w:t>
      </w:r>
      <w:r w:rsidR="00A2513E">
        <w:rPr>
          <w:rFonts w:cstheme="minorHAnsi"/>
          <w:b/>
        </w:rPr>
        <w:pict>
          <v:rect id="_x0000_i1025" style="width:0;height:1.5pt" o:hralign="center" o:hrstd="t" o:hr="t" fillcolor="#a0a0a0" stroked="f"/>
        </w:pict>
      </w:r>
    </w:p>
    <w:p w:rsidR="002975AD" w:rsidRPr="00995FF4" w:rsidRDefault="002975AD" w:rsidP="002975AD">
      <w:pPr>
        <w:spacing w:after="0" w:line="240" w:lineRule="auto"/>
        <w:rPr>
          <w:rFonts w:eastAsia="Times New Roman" w:cstheme="minorHAnsi"/>
          <w:sz w:val="24"/>
          <w:szCs w:val="24"/>
          <w:lang w:eastAsia="sl-SI"/>
        </w:rPr>
      </w:pPr>
    </w:p>
    <w:p w:rsidR="002975AD" w:rsidRPr="00995FF4" w:rsidRDefault="00A2513E" w:rsidP="000E64DB">
      <w:pPr>
        <w:spacing w:after="0" w:line="240" w:lineRule="auto"/>
        <w:jc w:val="both"/>
        <w:rPr>
          <w:rFonts w:eastAsia="Times New Roman" w:cstheme="minorHAnsi"/>
          <w:b/>
          <w:bCs/>
          <w:sz w:val="24"/>
          <w:szCs w:val="24"/>
          <w:lang w:eastAsia="sl-SI"/>
        </w:rPr>
      </w:pPr>
      <w:r>
        <w:rPr>
          <w:rFonts w:eastAsia="Times New Roman" w:cstheme="minorHAnsi"/>
          <w:sz w:val="24"/>
          <w:szCs w:val="24"/>
          <w:lang w:eastAsia="sl-SI"/>
        </w:rPr>
        <w:t>S</w:t>
      </w:r>
      <w:bookmarkStart w:id="0" w:name="_GoBack"/>
      <w:bookmarkEnd w:id="0"/>
      <w:r w:rsidR="002975AD" w:rsidRPr="00995FF4">
        <w:rPr>
          <w:rFonts w:eastAsia="Times New Roman" w:cstheme="minorHAnsi"/>
          <w:sz w:val="24"/>
          <w:szCs w:val="24"/>
          <w:lang w:eastAsia="sl-SI"/>
        </w:rPr>
        <w:t xml:space="preserve"> 1. oktobrom 2018 je s</w:t>
      </w:r>
      <w:r w:rsidR="00BA31AB" w:rsidRPr="00995FF4">
        <w:rPr>
          <w:rFonts w:eastAsia="Times New Roman" w:cstheme="minorHAnsi"/>
          <w:sz w:val="24"/>
          <w:szCs w:val="24"/>
          <w:lang w:eastAsia="sl-SI"/>
        </w:rPr>
        <w:t>t</w:t>
      </w:r>
      <w:r w:rsidR="002975AD" w:rsidRPr="00995FF4">
        <w:rPr>
          <w:rFonts w:eastAsia="Times New Roman" w:cstheme="minorHAnsi"/>
          <w:sz w:val="24"/>
          <w:szCs w:val="24"/>
          <w:lang w:eastAsia="sl-SI"/>
        </w:rPr>
        <w:t xml:space="preserve">opil v veljavo </w:t>
      </w:r>
      <w:r w:rsidR="002975AD" w:rsidRPr="00995FF4">
        <w:rPr>
          <w:rFonts w:eastAsia="Times New Roman" w:cstheme="minorHAnsi"/>
          <w:b/>
          <w:sz w:val="24"/>
          <w:szCs w:val="24"/>
          <w:lang w:eastAsia="sl-SI"/>
        </w:rPr>
        <w:t>nov</w:t>
      </w:r>
      <w:r w:rsidR="002975AD" w:rsidRPr="00995FF4">
        <w:rPr>
          <w:rFonts w:eastAsia="Times New Roman" w:cstheme="minorHAnsi"/>
          <w:sz w:val="24"/>
          <w:szCs w:val="24"/>
          <w:lang w:eastAsia="sl-SI"/>
        </w:rPr>
        <w:t xml:space="preserve"> </w:t>
      </w:r>
      <w:r w:rsidR="002975AD" w:rsidRPr="00995FF4">
        <w:rPr>
          <w:rFonts w:eastAsia="Times New Roman" w:cstheme="minorHAnsi"/>
          <w:b/>
          <w:bCs/>
          <w:color w:val="0070C0"/>
          <w:sz w:val="24"/>
          <w:szCs w:val="24"/>
          <w:lang w:eastAsia="sl-SI"/>
        </w:rPr>
        <w:t>Pravilnik  o kategorizaciji nastanitvenih obratov</w:t>
      </w:r>
      <w:r w:rsidR="002975AD" w:rsidRPr="00995FF4">
        <w:rPr>
          <w:rFonts w:eastAsia="Times New Roman" w:cstheme="minorHAnsi"/>
          <w:b/>
          <w:bCs/>
          <w:sz w:val="24"/>
          <w:szCs w:val="24"/>
          <w:lang w:eastAsia="sl-SI"/>
        </w:rPr>
        <w:t xml:space="preserve">. </w:t>
      </w:r>
    </w:p>
    <w:p w:rsidR="002975AD" w:rsidRPr="00995FF4" w:rsidRDefault="002975AD" w:rsidP="000E64DB">
      <w:pPr>
        <w:spacing w:after="0" w:line="240" w:lineRule="auto"/>
        <w:jc w:val="both"/>
        <w:rPr>
          <w:rFonts w:eastAsia="Times New Roman" w:cstheme="minorHAnsi"/>
          <w:sz w:val="24"/>
          <w:szCs w:val="24"/>
          <w:lang w:eastAsia="sl-SI"/>
        </w:rPr>
      </w:pPr>
      <w:r w:rsidRPr="00995FF4">
        <w:rPr>
          <w:rFonts w:eastAsia="Times New Roman" w:cstheme="minorHAnsi"/>
          <w:sz w:val="24"/>
          <w:szCs w:val="24"/>
          <w:lang w:eastAsia="sl-SI"/>
        </w:rPr>
        <w:br/>
      </w:r>
      <w:r w:rsidRPr="00995FF4">
        <w:rPr>
          <w:rFonts w:eastAsia="Times New Roman" w:cstheme="minorHAnsi"/>
          <w:b/>
          <w:bCs/>
          <w:sz w:val="24"/>
          <w:szCs w:val="24"/>
          <w:lang w:eastAsia="sl-SI"/>
        </w:rPr>
        <w:t>Vsi nastanitveni obrati bodo morali kategorijo nastanitvenega obrata uskladiti z določbami tega pravilnika v roku pol leta od uveljavitve tega pravilnika (do 1. aprila 2019)</w:t>
      </w:r>
      <w:r w:rsidRPr="00995FF4">
        <w:rPr>
          <w:rFonts w:eastAsia="Times New Roman" w:cstheme="minorHAnsi"/>
          <w:sz w:val="24"/>
          <w:szCs w:val="24"/>
          <w:lang w:eastAsia="sl-SI"/>
        </w:rPr>
        <w:t>, razen nastanitveni obrati, ki jim je kategorijo dodelil ocenjevalec nastanitvenih obratov – le-tem velja kategorija do izteka veljavnosti.</w:t>
      </w:r>
    </w:p>
    <w:p w:rsidR="002975AD" w:rsidRPr="00995FF4" w:rsidRDefault="002975AD" w:rsidP="000E64DB">
      <w:pPr>
        <w:spacing w:after="0" w:line="240" w:lineRule="auto"/>
        <w:jc w:val="both"/>
        <w:rPr>
          <w:rFonts w:eastAsia="Times New Roman" w:cstheme="minorHAnsi"/>
          <w:sz w:val="24"/>
          <w:szCs w:val="24"/>
          <w:lang w:eastAsia="sl-SI"/>
        </w:rPr>
      </w:pPr>
      <w:r w:rsidRPr="00995FF4">
        <w:rPr>
          <w:rFonts w:eastAsia="Times New Roman" w:cstheme="minorHAnsi"/>
          <w:sz w:val="24"/>
          <w:szCs w:val="24"/>
          <w:lang w:eastAsia="sl-SI"/>
        </w:rPr>
        <w:t> </w:t>
      </w:r>
    </w:p>
    <w:p w:rsidR="002975AD" w:rsidRPr="00995FF4" w:rsidRDefault="002975AD" w:rsidP="00995FF4">
      <w:pPr>
        <w:spacing w:after="0" w:line="240" w:lineRule="auto"/>
        <w:jc w:val="both"/>
        <w:rPr>
          <w:rFonts w:eastAsia="Times New Roman" w:cstheme="minorHAnsi"/>
          <w:sz w:val="24"/>
          <w:szCs w:val="24"/>
          <w:lang w:eastAsia="sl-SI"/>
        </w:rPr>
      </w:pPr>
      <w:r w:rsidRPr="00995FF4">
        <w:rPr>
          <w:rFonts w:eastAsia="Times New Roman" w:cstheme="minorHAnsi"/>
          <w:sz w:val="24"/>
          <w:szCs w:val="24"/>
          <w:lang w:eastAsia="sl-SI"/>
        </w:rPr>
        <w:t>Kategorizacija nastanitvenega obrata bo veljavna:</w:t>
      </w:r>
    </w:p>
    <w:p w:rsidR="002975AD" w:rsidRPr="00995FF4" w:rsidRDefault="002975AD" w:rsidP="00995FF4">
      <w:pPr>
        <w:numPr>
          <w:ilvl w:val="0"/>
          <w:numId w:val="1"/>
        </w:numPr>
        <w:spacing w:after="0" w:line="240" w:lineRule="auto"/>
        <w:jc w:val="both"/>
        <w:rPr>
          <w:rFonts w:eastAsia="Times New Roman" w:cstheme="minorHAnsi"/>
          <w:sz w:val="24"/>
          <w:szCs w:val="24"/>
          <w:lang w:eastAsia="sl-SI"/>
        </w:rPr>
      </w:pPr>
      <w:r w:rsidRPr="00995FF4">
        <w:rPr>
          <w:rFonts w:eastAsia="Times New Roman" w:cstheme="minorHAnsi"/>
          <w:sz w:val="24"/>
          <w:szCs w:val="24"/>
          <w:lang w:eastAsia="sl-SI"/>
        </w:rPr>
        <w:t xml:space="preserve">za hotele v kategoriji štiri zvezdice </w:t>
      </w:r>
      <w:proofErr w:type="spellStart"/>
      <w:r w:rsidRPr="00995FF4">
        <w:rPr>
          <w:rFonts w:eastAsia="Times New Roman" w:cstheme="minorHAnsi"/>
          <w:sz w:val="24"/>
          <w:szCs w:val="24"/>
          <w:lang w:eastAsia="sl-SI"/>
        </w:rPr>
        <w:t>Superior</w:t>
      </w:r>
      <w:proofErr w:type="spellEnd"/>
      <w:r w:rsidRPr="00995FF4">
        <w:rPr>
          <w:rFonts w:eastAsia="Times New Roman" w:cstheme="minorHAnsi"/>
          <w:sz w:val="24"/>
          <w:szCs w:val="24"/>
          <w:lang w:eastAsia="sl-SI"/>
        </w:rPr>
        <w:t xml:space="preserve">, pet zvezdic in pet zvezdic </w:t>
      </w:r>
      <w:proofErr w:type="spellStart"/>
      <w:r w:rsidRPr="00995FF4">
        <w:rPr>
          <w:rFonts w:eastAsia="Times New Roman" w:cstheme="minorHAnsi"/>
          <w:sz w:val="24"/>
          <w:szCs w:val="24"/>
          <w:lang w:eastAsia="sl-SI"/>
        </w:rPr>
        <w:t>Superior</w:t>
      </w:r>
      <w:proofErr w:type="spellEnd"/>
      <w:r w:rsidRPr="00995FF4">
        <w:rPr>
          <w:rFonts w:eastAsia="Times New Roman" w:cstheme="minorHAnsi"/>
          <w:sz w:val="24"/>
          <w:szCs w:val="24"/>
          <w:lang w:eastAsia="sl-SI"/>
        </w:rPr>
        <w:t xml:space="preserve"> tri leta,</w:t>
      </w:r>
    </w:p>
    <w:p w:rsidR="002975AD" w:rsidRPr="00995FF4" w:rsidRDefault="002975AD" w:rsidP="000E64DB">
      <w:pPr>
        <w:numPr>
          <w:ilvl w:val="0"/>
          <w:numId w:val="1"/>
        </w:numPr>
        <w:spacing w:before="100" w:beforeAutospacing="1" w:after="100" w:afterAutospacing="1" w:line="240" w:lineRule="auto"/>
        <w:jc w:val="both"/>
        <w:rPr>
          <w:rFonts w:eastAsia="Times New Roman" w:cstheme="minorHAnsi"/>
          <w:sz w:val="24"/>
          <w:szCs w:val="24"/>
          <w:lang w:eastAsia="sl-SI"/>
        </w:rPr>
      </w:pPr>
      <w:r w:rsidRPr="00995FF4">
        <w:rPr>
          <w:rFonts w:eastAsia="Times New Roman" w:cstheme="minorHAnsi"/>
          <w:sz w:val="24"/>
          <w:szCs w:val="24"/>
          <w:lang w:eastAsia="sl-SI"/>
        </w:rPr>
        <w:t>za hotele v kategoriji ena do štiri zvezdice pet let,</w:t>
      </w:r>
    </w:p>
    <w:p w:rsidR="002975AD" w:rsidRPr="00995FF4" w:rsidRDefault="002975AD" w:rsidP="000E64DB">
      <w:pPr>
        <w:numPr>
          <w:ilvl w:val="0"/>
          <w:numId w:val="1"/>
        </w:numPr>
        <w:spacing w:before="100" w:beforeAutospacing="1" w:after="100" w:afterAutospacing="1" w:line="240" w:lineRule="auto"/>
        <w:jc w:val="both"/>
        <w:rPr>
          <w:rFonts w:eastAsia="Times New Roman" w:cstheme="minorHAnsi"/>
          <w:sz w:val="24"/>
          <w:szCs w:val="24"/>
          <w:lang w:eastAsia="sl-SI"/>
        </w:rPr>
      </w:pPr>
      <w:r w:rsidRPr="00995FF4">
        <w:rPr>
          <w:rFonts w:eastAsia="Times New Roman" w:cstheme="minorHAnsi"/>
          <w:sz w:val="24"/>
          <w:szCs w:val="24"/>
          <w:lang w:eastAsia="sl-SI"/>
        </w:rPr>
        <w:t>za nastanitvene obrate iz druge do sedme alineje drugega člena tega pravilnika v kategorijah štiri in pet zvezdic oziroma jabolk pet let,</w:t>
      </w:r>
    </w:p>
    <w:p w:rsidR="002975AD" w:rsidRPr="00995FF4" w:rsidRDefault="002975AD" w:rsidP="000E64DB">
      <w:pPr>
        <w:numPr>
          <w:ilvl w:val="0"/>
          <w:numId w:val="1"/>
        </w:numPr>
        <w:spacing w:before="100" w:beforeAutospacing="1" w:after="100" w:afterAutospacing="1" w:line="240" w:lineRule="auto"/>
        <w:jc w:val="both"/>
        <w:rPr>
          <w:rFonts w:eastAsia="Times New Roman" w:cstheme="minorHAnsi"/>
          <w:sz w:val="24"/>
          <w:szCs w:val="24"/>
          <w:lang w:eastAsia="sl-SI"/>
        </w:rPr>
      </w:pPr>
      <w:r w:rsidRPr="00995FF4">
        <w:rPr>
          <w:rFonts w:eastAsia="Times New Roman" w:cstheme="minorHAnsi"/>
          <w:sz w:val="24"/>
          <w:szCs w:val="24"/>
          <w:lang w:eastAsia="sl-SI"/>
        </w:rPr>
        <w:t>za nastanitvene obrate iz druge do sedme alineje 2. člena tega pravilnika v kategorijah ene do treh zvezdic oziroma jabolk do spremembe kategorije.</w:t>
      </w:r>
    </w:p>
    <w:p w:rsidR="002975AD" w:rsidRPr="00995FF4" w:rsidRDefault="002975AD" w:rsidP="000E64DB">
      <w:pPr>
        <w:spacing w:after="0" w:line="240" w:lineRule="auto"/>
        <w:jc w:val="both"/>
        <w:rPr>
          <w:rFonts w:eastAsia="Times New Roman" w:cstheme="minorHAnsi"/>
          <w:color w:val="0070C0"/>
          <w:sz w:val="24"/>
          <w:szCs w:val="24"/>
          <w:lang w:eastAsia="sl-SI"/>
        </w:rPr>
      </w:pPr>
      <w:r w:rsidRPr="00995FF4">
        <w:rPr>
          <w:rFonts w:eastAsia="Times New Roman" w:cstheme="minorHAnsi"/>
          <w:sz w:val="24"/>
          <w:szCs w:val="24"/>
          <w:lang w:eastAsia="sl-SI"/>
        </w:rPr>
        <w:t xml:space="preserve">Da bi vam kategorizacijo vašega nastanitvenega obrata čim bolj olajšali, so na ministrstvu  pripravili </w:t>
      </w:r>
      <w:r w:rsidRPr="00995FF4">
        <w:rPr>
          <w:rFonts w:eastAsia="Times New Roman" w:cstheme="minorHAnsi"/>
          <w:b/>
          <w:bCs/>
          <w:sz w:val="24"/>
          <w:szCs w:val="24"/>
          <w:lang w:eastAsia="sl-SI"/>
        </w:rPr>
        <w:t>elektronski sistem kategorizacije</w:t>
      </w:r>
      <w:r w:rsidRPr="00995FF4">
        <w:rPr>
          <w:rFonts w:eastAsia="Times New Roman" w:cstheme="minorHAnsi"/>
          <w:sz w:val="24"/>
          <w:szCs w:val="24"/>
          <w:lang w:eastAsia="sl-SI"/>
        </w:rPr>
        <w:t xml:space="preserve">, ki vas enostavno in po korakih vodi do pridobitve ustrezne kategorije. Dostopen je na spletni strani </w:t>
      </w:r>
      <w:hyperlink r:id="rId7" w:tgtFrame="_blank" w:history="1">
        <w:r w:rsidRPr="00995FF4">
          <w:rPr>
            <w:rFonts w:eastAsia="Times New Roman" w:cstheme="minorHAnsi"/>
            <w:color w:val="0070C0"/>
            <w:sz w:val="24"/>
            <w:szCs w:val="24"/>
            <w:u w:val="single"/>
            <w:lang w:eastAsia="sl-SI"/>
          </w:rPr>
          <w:t>www.kategorizacija.si</w:t>
        </w:r>
      </w:hyperlink>
      <w:r w:rsidRPr="00995FF4">
        <w:rPr>
          <w:rFonts w:eastAsia="Times New Roman" w:cstheme="minorHAnsi"/>
          <w:color w:val="0070C0"/>
          <w:sz w:val="24"/>
          <w:szCs w:val="24"/>
          <w:lang w:eastAsia="sl-SI"/>
        </w:rPr>
        <w:t>.</w:t>
      </w:r>
    </w:p>
    <w:p w:rsidR="002975AD" w:rsidRPr="00995FF4" w:rsidRDefault="002975AD" w:rsidP="000E64DB">
      <w:pPr>
        <w:spacing w:after="0" w:line="240" w:lineRule="auto"/>
        <w:jc w:val="both"/>
        <w:rPr>
          <w:rFonts w:eastAsia="Times New Roman" w:cstheme="minorHAnsi"/>
          <w:sz w:val="24"/>
          <w:szCs w:val="24"/>
          <w:lang w:eastAsia="sl-SI"/>
        </w:rPr>
      </w:pPr>
    </w:p>
    <w:p w:rsidR="002975AD" w:rsidRPr="00995FF4" w:rsidRDefault="002975AD" w:rsidP="000E64DB">
      <w:pPr>
        <w:spacing w:after="0" w:line="240" w:lineRule="auto"/>
        <w:jc w:val="both"/>
        <w:rPr>
          <w:rFonts w:eastAsia="Times New Roman" w:cstheme="minorHAnsi"/>
          <w:sz w:val="24"/>
          <w:szCs w:val="24"/>
          <w:lang w:eastAsia="sl-SI"/>
        </w:rPr>
      </w:pPr>
      <w:r w:rsidRPr="00995FF4">
        <w:rPr>
          <w:rFonts w:eastAsia="Times New Roman" w:cstheme="minorHAnsi"/>
          <w:b/>
          <w:bCs/>
          <w:sz w:val="24"/>
          <w:szCs w:val="24"/>
          <w:lang w:eastAsia="sl-SI"/>
        </w:rPr>
        <w:t>Ocenitev nastanitvenega obrata</w:t>
      </w:r>
    </w:p>
    <w:p w:rsidR="002975AD" w:rsidRPr="00995FF4" w:rsidRDefault="002975AD" w:rsidP="000E64DB">
      <w:pPr>
        <w:spacing w:after="0" w:line="240" w:lineRule="auto"/>
        <w:jc w:val="both"/>
        <w:rPr>
          <w:rFonts w:eastAsia="Times New Roman" w:cstheme="minorHAnsi"/>
          <w:sz w:val="24"/>
          <w:szCs w:val="24"/>
          <w:lang w:eastAsia="sl-SI"/>
        </w:rPr>
      </w:pPr>
      <w:r w:rsidRPr="00995FF4">
        <w:rPr>
          <w:rFonts w:eastAsia="Times New Roman" w:cstheme="minorHAnsi"/>
          <w:sz w:val="24"/>
          <w:szCs w:val="24"/>
          <w:lang w:eastAsia="sl-SI"/>
        </w:rPr>
        <w:br/>
        <w:t>Kategorijo nastanitvenega obrata določi gostinec, sobodajalec oziroma kmet, ki izvaja gostinsko dejavnost v nastanitvenem obratu ali oseba po njegovem pooblastilu (ocenjevalec nastanitvenih obratov). Nastanitvenim obratom, ki potrebujete strokovno pomoč usposobljenih strokovnjakov, priporočamo, da se obrnete na osebe, ki so uspešno opravile strokovno usposabljanje za ocenjevanje nastanitvenih obratov, ki je potekalo v organizaciji Višje strokovne šole za gostinstvo in turizem Maribor. Seznam je dostopen </w:t>
      </w:r>
      <w:hyperlink r:id="rId8" w:tgtFrame="_blank" w:history="1">
        <w:r w:rsidRPr="00995FF4">
          <w:rPr>
            <w:rFonts w:eastAsia="Times New Roman" w:cstheme="minorHAnsi"/>
            <w:color w:val="529CBA"/>
            <w:sz w:val="24"/>
            <w:szCs w:val="24"/>
            <w:u w:val="single"/>
            <w:lang w:eastAsia="sl-SI"/>
          </w:rPr>
          <w:t>tukaj</w:t>
        </w:r>
      </w:hyperlink>
      <w:r w:rsidRPr="00995FF4">
        <w:rPr>
          <w:rFonts w:eastAsia="Times New Roman" w:cstheme="minorHAnsi"/>
          <w:color w:val="000000"/>
          <w:lang w:eastAsia="sl-SI"/>
        </w:rPr>
        <w:t>.</w:t>
      </w:r>
    </w:p>
    <w:p w:rsidR="002975AD" w:rsidRPr="00995FF4" w:rsidRDefault="002975AD" w:rsidP="000E64DB">
      <w:pPr>
        <w:spacing w:after="0" w:line="240" w:lineRule="auto"/>
        <w:jc w:val="both"/>
        <w:rPr>
          <w:rFonts w:eastAsia="Times New Roman" w:cstheme="minorHAnsi"/>
          <w:sz w:val="24"/>
          <w:szCs w:val="24"/>
          <w:lang w:eastAsia="sl-SI"/>
        </w:rPr>
      </w:pPr>
      <w:r w:rsidRPr="00995FF4">
        <w:rPr>
          <w:rFonts w:eastAsia="Times New Roman" w:cstheme="minorHAnsi"/>
          <w:sz w:val="24"/>
          <w:szCs w:val="24"/>
          <w:lang w:eastAsia="sl-SI"/>
        </w:rPr>
        <w:t>   </w:t>
      </w:r>
    </w:p>
    <w:p w:rsidR="002975AD" w:rsidRPr="00995FF4" w:rsidRDefault="002975AD" w:rsidP="000E64DB">
      <w:pPr>
        <w:spacing w:after="0" w:line="240" w:lineRule="auto"/>
        <w:jc w:val="both"/>
        <w:rPr>
          <w:rFonts w:eastAsia="Times New Roman" w:cstheme="minorHAnsi"/>
          <w:sz w:val="24"/>
          <w:szCs w:val="24"/>
          <w:lang w:eastAsia="sl-SI"/>
        </w:rPr>
      </w:pPr>
      <w:r w:rsidRPr="00995FF4">
        <w:rPr>
          <w:rFonts w:eastAsia="Times New Roman" w:cstheme="minorHAnsi"/>
          <w:b/>
          <w:bCs/>
          <w:color w:val="0070C0"/>
          <w:sz w:val="24"/>
          <w:szCs w:val="24"/>
          <w:lang w:eastAsia="sl-SI"/>
        </w:rPr>
        <w:t>Svetovanje nastanitvenim obratom</w:t>
      </w:r>
      <w:r w:rsidR="00995FF4" w:rsidRPr="00995FF4">
        <w:rPr>
          <w:rFonts w:eastAsia="Times New Roman" w:cstheme="minorHAnsi"/>
          <w:b/>
          <w:bCs/>
          <w:color w:val="0070C0"/>
          <w:sz w:val="24"/>
          <w:szCs w:val="24"/>
          <w:lang w:eastAsia="sl-SI"/>
        </w:rPr>
        <w:t>:</w:t>
      </w:r>
      <w:r w:rsidR="00995FF4" w:rsidRPr="00995FF4">
        <w:rPr>
          <w:rFonts w:eastAsia="Times New Roman" w:cstheme="minorHAnsi"/>
          <w:b/>
          <w:bCs/>
          <w:color w:val="0070C0"/>
          <w:sz w:val="21"/>
          <w:szCs w:val="21"/>
          <w:lang w:eastAsia="sl-SI"/>
        </w:rPr>
        <w:t xml:space="preserve">  </w:t>
      </w:r>
      <w:r w:rsidRPr="00995FF4">
        <w:rPr>
          <w:rFonts w:eastAsia="Times New Roman" w:cstheme="minorHAnsi"/>
          <w:sz w:val="24"/>
          <w:szCs w:val="24"/>
          <w:lang w:eastAsia="sl-SI"/>
        </w:rPr>
        <w:t>Nastanitvenim obratom je na voljo brezplačno svetovanje, povezano z izvedbo kategorizacije. Izvaja ga Turistično gostinska zbornica Slovenije.</w:t>
      </w:r>
    </w:p>
    <w:p w:rsidR="002975AD" w:rsidRPr="00995FF4" w:rsidRDefault="002975AD" w:rsidP="000E64DB">
      <w:pPr>
        <w:spacing w:after="0" w:line="240" w:lineRule="auto"/>
        <w:jc w:val="both"/>
        <w:rPr>
          <w:rFonts w:eastAsia="Times New Roman" w:cstheme="minorHAnsi"/>
          <w:sz w:val="24"/>
          <w:szCs w:val="24"/>
          <w:lang w:eastAsia="sl-SI"/>
        </w:rPr>
      </w:pPr>
      <w:r w:rsidRPr="00995FF4">
        <w:rPr>
          <w:rFonts w:eastAsia="Times New Roman" w:cstheme="minorHAnsi"/>
          <w:sz w:val="24"/>
          <w:szCs w:val="24"/>
          <w:lang w:eastAsia="sl-SI"/>
        </w:rPr>
        <w:t>Kontakt: 01 5898 230, kategorizacija(at)</w:t>
      </w:r>
      <w:proofErr w:type="spellStart"/>
      <w:r w:rsidRPr="00995FF4">
        <w:rPr>
          <w:rFonts w:eastAsia="Times New Roman" w:cstheme="minorHAnsi"/>
          <w:sz w:val="24"/>
          <w:szCs w:val="24"/>
          <w:lang w:eastAsia="sl-SI"/>
        </w:rPr>
        <w:t>tgzs</w:t>
      </w:r>
      <w:proofErr w:type="spellEnd"/>
      <w:r w:rsidRPr="00995FF4">
        <w:rPr>
          <w:rFonts w:eastAsia="Times New Roman" w:cstheme="minorHAnsi"/>
          <w:sz w:val="24"/>
          <w:szCs w:val="24"/>
          <w:lang w:eastAsia="sl-SI"/>
        </w:rPr>
        <w:t>.si.</w:t>
      </w:r>
    </w:p>
    <w:p w:rsidR="002975AD" w:rsidRPr="00995FF4" w:rsidRDefault="002975AD" w:rsidP="000E64DB">
      <w:pPr>
        <w:spacing w:after="0" w:line="240" w:lineRule="auto"/>
        <w:jc w:val="both"/>
        <w:rPr>
          <w:rFonts w:eastAsia="Times New Roman" w:cstheme="minorHAnsi"/>
          <w:sz w:val="24"/>
          <w:szCs w:val="24"/>
          <w:lang w:eastAsia="sl-SI"/>
        </w:rPr>
      </w:pPr>
      <w:r w:rsidRPr="00995FF4">
        <w:rPr>
          <w:rFonts w:eastAsia="Times New Roman" w:cstheme="minorHAnsi"/>
          <w:sz w:val="24"/>
          <w:szCs w:val="24"/>
          <w:lang w:eastAsia="sl-SI"/>
        </w:rPr>
        <w:t>    </w:t>
      </w:r>
    </w:p>
    <w:p w:rsidR="002975AD" w:rsidRPr="00995FF4" w:rsidRDefault="002975AD" w:rsidP="000E64DB">
      <w:pPr>
        <w:spacing w:after="0" w:line="240" w:lineRule="auto"/>
        <w:jc w:val="both"/>
        <w:rPr>
          <w:rFonts w:eastAsia="Times New Roman" w:cstheme="minorHAnsi"/>
          <w:sz w:val="24"/>
          <w:szCs w:val="24"/>
          <w:lang w:eastAsia="sl-SI"/>
        </w:rPr>
      </w:pPr>
      <w:r w:rsidRPr="00995FF4">
        <w:rPr>
          <w:rFonts w:eastAsia="Times New Roman" w:cstheme="minorHAnsi"/>
          <w:b/>
          <w:bCs/>
          <w:color w:val="0070C0"/>
          <w:sz w:val="24"/>
          <w:szCs w:val="24"/>
          <w:lang w:eastAsia="sl-SI"/>
        </w:rPr>
        <w:t>Table za označevanje kategorije nastanitvenega obrata</w:t>
      </w:r>
      <w:r w:rsidR="00995FF4" w:rsidRPr="00995FF4">
        <w:rPr>
          <w:rFonts w:eastAsia="Times New Roman" w:cstheme="minorHAnsi"/>
          <w:b/>
          <w:bCs/>
          <w:color w:val="0070C0"/>
          <w:sz w:val="24"/>
          <w:szCs w:val="24"/>
          <w:lang w:eastAsia="sl-SI"/>
        </w:rPr>
        <w:t>:</w:t>
      </w:r>
      <w:r w:rsidR="00995FF4" w:rsidRPr="00995FF4">
        <w:rPr>
          <w:rFonts w:eastAsia="Times New Roman" w:cstheme="minorHAnsi"/>
          <w:b/>
          <w:bCs/>
          <w:color w:val="0070C0"/>
          <w:sz w:val="21"/>
          <w:szCs w:val="21"/>
          <w:lang w:eastAsia="sl-SI"/>
        </w:rPr>
        <w:t xml:space="preserve">  </w:t>
      </w:r>
      <w:r w:rsidRPr="00995FF4">
        <w:rPr>
          <w:rFonts w:eastAsia="Times New Roman" w:cstheme="minorHAnsi"/>
          <w:sz w:val="24"/>
          <w:szCs w:val="24"/>
          <w:lang w:eastAsia="sl-SI"/>
        </w:rPr>
        <w:t>Za označevanje kategorije nastanitvenih obratov vrste: hotel, motel, penzion, gostišče, apartma, kamp, počitniško stanovanje, počitniška hiša, sobe se uporablja simbol zvezdica (v odgovarjajočem številu) glede na ocenjeno kategorijo. Za označevanje kategorije kmetij  z nastanitvijo (v sobah, apartmajih ali obojem) se uporablja simbol jabolko (v odgovarjajočem številu) glede na ocenjeno/doseženo kategorijo. </w:t>
      </w:r>
    </w:p>
    <w:p w:rsidR="002975AD" w:rsidRPr="00995FF4" w:rsidRDefault="002975AD" w:rsidP="000E64DB">
      <w:pPr>
        <w:spacing w:after="0" w:line="240" w:lineRule="auto"/>
        <w:jc w:val="both"/>
        <w:rPr>
          <w:rFonts w:eastAsia="Times New Roman" w:cstheme="minorHAnsi"/>
          <w:sz w:val="24"/>
          <w:szCs w:val="24"/>
          <w:lang w:eastAsia="sl-SI"/>
        </w:rPr>
      </w:pPr>
      <w:r w:rsidRPr="00995FF4">
        <w:rPr>
          <w:rFonts w:eastAsia="Times New Roman" w:cstheme="minorHAnsi"/>
          <w:sz w:val="24"/>
          <w:szCs w:val="24"/>
          <w:lang w:eastAsia="sl-SI"/>
        </w:rPr>
        <w:t> </w:t>
      </w:r>
    </w:p>
    <w:p w:rsidR="002975AD" w:rsidRPr="00995FF4" w:rsidRDefault="002975AD" w:rsidP="000E64DB">
      <w:pPr>
        <w:spacing w:after="0" w:line="240" w:lineRule="auto"/>
        <w:jc w:val="both"/>
        <w:rPr>
          <w:rFonts w:eastAsia="Times New Roman" w:cstheme="minorHAnsi"/>
          <w:sz w:val="24"/>
          <w:szCs w:val="24"/>
          <w:lang w:eastAsia="sl-SI"/>
        </w:rPr>
      </w:pPr>
      <w:r w:rsidRPr="00995FF4">
        <w:rPr>
          <w:rFonts w:eastAsia="Times New Roman" w:cstheme="minorHAnsi"/>
          <w:sz w:val="24"/>
          <w:szCs w:val="24"/>
          <w:lang w:eastAsia="sl-SI"/>
        </w:rPr>
        <w:t>Videz označevalnih tabel, materiali in dimenzije so predpisani v Prilogi 3 Pravilnika o kategorizaciji nastanitvenih obratov.</w:t>
      </w:r>
    </w:p>
    <w:p w:rsidR="00BA31AB" w:rsidRPr="00995FF4" w:rsidRDefault="00BA31AB" w:rsidP="000E64DB">
      <w:pPr>
        <w:spacing w:after="0" w:line="240" w:lineRule="auto"/>
        <w:jc w:val="both"/>
        <w:rPr>
          <w:rFonts w:eastAsia="Times New Roman" w:cstheme="minorHAnsi"/>
          <w:sz w:val="24"/>
          <w:szCs w:val="24"/>
          <w:lang w:eastAsia="sl-SI"/>
        </w:rPr>
      </w:pPr>
    </w:p>
    <w:p w:rsidR="00BA31AB" w:rsidRPr="00995FF4" w:rsidRDefault="00BA31AB" w:rsidP="000E64DB">
      <w:pPr>
        <w:spacing w:after="0" w:line="240" w:lineRule="auto"/>
        <w:jc w:val="both"/>
        <w:rPr>
          <w:rFonts w:eastAsia="Times New Roman" w:cstheme="minorHAnsi"/>
          <w:sz w:val="24"/>
          <w:szCs w:val="24"/>
          <w:lang w:eastAsia="sl-SI"/>
        </w:rPr>
      </w:pPr>
      <w:r w:rsidRPr="00995FF4">
        <w:rPr>
          <w:rFonts w:eastAsia="Times New Roman" w:cstheme="minorHAnsi"/>
          <w:sz w:val="24"/>
          <w:szCs w:val="24"/>
          <w:lang w:eastAsia="sl-SI"/>
        </w:rPr>
        <w:t xml:space="preserve">Hoteli bodo po opravljeni kategorizaciji pridobili novo označevalno tablo, ki bo v skladna s podobo Združenja </w:t>
      </w:r>
      <w:proofErr w:type="spellStart"/>
      <w:r w:rsidRPr="00995FF4">
        <w:rPr>
          <w:rFonts w:eastAsia="Times New Roman" w:cstheme="minorHAnsi"/>
          <w:sz w:val="24"/>
          <w:szCs w:val="24"/>
          <w:lang w:eastAsia="sl-SI"/>
        </w:rPr>
        <w:t>Hotelstars</w:t>
      </w:r>
      <w:proofErr w:type="spellEnd"/>
      <w:r w:rsidR="00995FF4">
        <w:rPr>
          <w:rFonts w:eastAsia="Times New Roman" w:cstheme="minorHAnsi"/>
          <w:sz w:val="24"/>
          <w:szCs w:val="24"/>
          <w:lang w:eastAsia="sl-SI"/>
        </w:rPr>
        <w:t>.</w:t>
      </w:r>
    </w:p>
    <w:p w:rsidR="00BA31AB" w:rsidRPr="00995FF4" w:rsidRDefault="00BA31AB" w:rsidP="000E64DB">
      <w:pPr>
        <w:spacing w:after="0" w:line="240" w:lineRule="auto"/>
        <w:jc w:val="both"/>
        <w:rPr>
          <w:rFonts w:eastAsia="Times New Roman" w:cstheme="minorHAnsi"/>
          <w:sz w:val="24"/>
          <w:szCs w:val="24"/>
          <w:lang w:eastAsia="sl-SI"/>
        </w:rPr>
      </w:pPr>
    </w:p>
    <w:p w:rsidR="002975AD" w:rsidRPr="00995FF4" w:rsidRDefault="00BA31AB" w:rsidP="002975AD">
      <w:pPr>
        <w:spacing w:after="0" w:line="240" w:lineRule="auto"/>
        <w:rPr>
          <w:rFonts w:eastAsia="Times New Roman" w:cstheme="minorHAnsi"/>
          <w:sz w:val="24"/>
          <w:szCs w:val="24"/>
          <w:lang w:eastAsia="sl-SI"/>
        </w:rPr>
      </w:pPr>
      <w:r w:rsidRPr="00995FF4">
        <w:rPr>
          <w:rFonts w:eastAsia="Times New Roman" w:cstheme="minorHAnsi"/>
          <w:b/>
          <w:sz w:val="24"/>
          <w:szCs w:val="24"/>
          <w:lang w:eastAsia="sl-SI"/>
        </w:rPr>
        <w:t>Novost pravilnika je, da označevalna tabla ne bo več obvezna za sobodajalce, ki opravljajo gostinsko dejavnost v večstanovanjskih stavbah.</w:t>
      </w:r>
      <w:r w:rsidRPr="00995FF4">
        <w:rPr>
          <w:rFonts w:eastAsia="Times New Roman" w:cstheme="minorHAnsi"/>
          <w:sz w:val="24"/>
          <w:szCs w:val="24"/>
          <w:lang w:eastAsia="sl-SI"/>
        </w:rPr>
        <w:br/>
        <w:t> </w:t>
      </w:r>
      <w:r w:rsidRPr="00995FF4">
        <w:rPr>
          <w:rFonts w:eastAsia="Times New Roman" w:cstheme="minorHAnsi"/>
          <w:sz w:val="24"/>
          <w:szCs w:val="24"/>
          <w:lang w:eastAsia="sl-SI"/>
        </w:rPr>
        <w:br/>
        <w:t>Tablo, ki označuje tip nastanitvenega obrata in njegovo doseženo kategorijo, lahko izdela katerikoli izvajalec, ki upošteva tehnično specifikacijo izdelave tabel.</w:t>
      </w:r>
      <w:r w:rsidR="002975AD" w:rsidRPr="00995FF4">
        <w:rPr>
          <w:rFonts w:eastAsia="Times New Roman" w:cstheme="minorHAnsi"/>
          <w:sz w:val="24"/>
          <w:szCs w:val="24"/>
          <w:lang w:eastAsia="sl-SI"/>
        </w:rPr>
        <w:t> </w:t>
      </w:r>
    </w:p>
    <w:sectPr w:rsidR="002975AD" w:rsidRPr="00995FF4" w:rsidSect="00995FF4">
      <w:pgSz w:w="11906" w:h="16838"/>
      <w:pgMar w:top="709"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A396E"/>
    <w:multiLevelType w:val="multilevel"/>
    <w:tmpl w:val="C7EAF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5AD"/>
    <w:rsid w:val="000E64DB"/>
    <w:rsid w:val="002975AD"/>
    <w:rsid w:val="00883255"/>
    <w:rsid w:val="00995FF4"/>
    <w:rsid w:val="00A2513E"/>
    <w:rsid w:val="00B64967"/>
    <w:rsid w:val="00BA31A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A31AB"/>
    <w:rPr>
      <w:color w:val="0000FF" w:themeColor="hyperlink"/>
      <w:u w:val="single"/>
    </w:rPr>
  </w:style>
  <w:style w:type="paragraph" w:styleId="Besedilooblaka">
    <w:name w:val="Balloon Text"/>
    <w:basedOn w:val="Navaden"/>
    <w:link w:val="BesedilooblakaZnak"/>
    <w:uiPriority w:val="99"/>
    <w:semiHidden/>
    <w:unhideWhenUsed/>
    <w:rsid w:val="00995FF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95F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BA31AB"/>
    <w:rPr>
      <w:color w:val="0000FF" w:themeColor="hyperlink"/>
      <w:u w:val="single"/>
    </w:rPr>
  </w:style>
  <w:style w:type="paragraph" w:styleId="Besedilooblaka">
    <w:name w:val="Balloon Text"/>
    <w:basedOn w:val="Navaden"/>
    <w:link w:val="BesedilooblakaZnak"/>
    <w:uiPriority w:val="99"/>
    <w:semiHidden/>
    <w:unhideWhenUsed/>
    <w:rsid w:val="00995FF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95F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242673">
      <w:bodyDiv w:val="1"/>
      <w:marLeft w:val="0"/>
      <w:marRight w:val="0"/>
      <w:marTop w:val="0"/>
      <w:marBottom w:val="0"/>
      <w:divBdr>
        <w:top w:val="none" w:sz="0" w:space="0" w:color="auto"/>
        <w:left w:val="none" w:sz="0" w:space="0" w:color="auto"/>
        <w:bottom w:val="none" w:sz="0" w:space="0" w:color="auto"/>
        <w:right w:val="none" w:sz="0" w:space="0" w:color="auto"/>
      </w:divBdr>
      <w:divsChild>
        <w:div w:id="1407343189">
          <w:marLeft w:val="0"/>
          <w:marRight w:val="0"/>
          <w:marTop w:val="0"/>
          <w:marBottom w:val="0"/>
          <w:divBdr>
            <w:top w:val="none" w:sz="0" w:space="0" w:color="auto"/>
            <w:left w:val="none" w:sz="0" w:space="0" w:color="auto"/>
            <w:bottom w:val="none" w:sz="0" w:space="0" w:color="auto"/>
            <w:right w:val="none" w:sz="0" w:space="0" w:color="auto"/>
          </w:divBdr>
          <w:divsChild>
            <w:div w:id="592249495">
              <w:marLeft w:val="0"/>
              <w:marRight w:val="0"/>
              <w:marTop w:val="0"/>
              <w:marBottom w:val="0"/>
              <w:divBdr>
                <w:top w:val="none" w:sz="0" w:space="0" w:color="auto"/>
                <w:left w:val="none" w:sz="0" w:space="0" w:color="auto"/>
                <w:bottom w:val="none" w:sz="0" w:space="0" w:color="auto"/>
                <w:right w:val="none" w:sz="0" w:space="0" w:color="auto"/>
              </w:divBdr>
              <w:divsChild>
                <w:div w:id="2080857425">
                  <w:marLeft w:val="0"/>
                  <w:marRight w:val="0"/>
                  <w:marTop w:val="0"/>
                  <w:marBottom w:val="0"/>
                  <w:divBdr>
                    <w:top w:val="none" w:sz="0" w:space="0" w:color="auto"/>
                    <w:left w:val="none" w:sz="0" w:space="0" w:color="auto"/>
                    <w:bottom w:val="none" w:sz="0" w:space="0" w:color="auto"/>
                    <w:right w:val="none" w:sz="0" w:space="0" w:color="auto"/>
                  </w:divBdr>
                  <w:divsChild>
                    <w:div w:id="26774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543812">
      <w:bodyDiv w:val="1"/>
      <w:marLeft w:val="0"/>
      <w:marRight w:val="0"/>
      <w:marTop w:val="0"/>
      <w:marBottom w:val="0"/>
      <w:divBdr>
        <w:top w:val="none" w:sz="0" w:space="0" w:color="auto"/>
        <w:left w:val="none" w:sz="0" w:space="0" w:color="auto"/>
        <w:bottom w:val="none" w:sz="0" w:space="0" w:color="auto"/>
        <w:right w:val="none" w:sz="0" w:space="0" w:color="auto"/>
      </w:divBdr>
      <w:divsChild>
        <w:div w:id="78717489">
          <w:marLeft w:val="0"/>
          <w:marRight w:val="0"/>
          <w:marTop w:val="0"/>
          <w:marBottom w:val="0"/>
          <w:divBdr>
            <w:top w:val="none" w:sz="0" w:space="0" w:color="auto"/>
            <w:left w:val="none" w:sz="0" w:space="0" w:color="auto"/>
            <w:bottom w:val="none" w:sz="0" w:space="0" w:color="auto"/>
            <w:right w:val="none" w:sz="0" w:space="0" w:color="auto"/>
          </w:divBdr>
          <w:divsChild>
            <w:div w:id="1035814570">
              <w:marLeft w:val="0"/>
              <w:marRight w:val="0"/>
              <w:marTop w:val="0"/>
              <w:marBottom w:val="0"/>
              <w:divBdr>
                <w:top w:val="none" w:sz="0" w:space="0" w:color="auto"/>
                <w:left w:val="none" w:sz="0" w:space="0" w:color="auto"/>
                <w:bottom w:val="none" w:sz="0" w:space="0" w:color="auto"/>
                <w:right w:val="none" w:sz="0" w:space="0" w:color="auto"/>
              </w:divBdr>
              <w:divsChild>
                <w:div w:id="122164957">
                  <w:marLeft w:val="0"/>
                  <w:marRight w:val="0"/>
                  <w:marTop w:val="0"/>
                  <w:marBottom w:val="0"/>
                  <w:divBdr>
                    <w:top w:val="none" w:sz="0" w:space="0" w:color="auto"/>
                    <w:left w:val="none" w:sz="0" w:space="0" w:color="auto"/>
                    <w:bottom w:val="none" w:sz="0" w:space="0" w:color="auto"/>
                    <w:right w:val="none" w:sz="0" w:space="0" w:color="auto"/>
                  </w:divBdr>
                  <w:divsChild>
                    <w:div w:id="73053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tegorizacija.si/doc/ocenjevalec.pdf" TargetMode="External"/><Relationship Id="rId3" Type="http://schemas.microsoft.com/office/2007/relationships/stylesWithEffects" Target="stylesWithEffects.xml"/><Relationship Id="rId7" Type="http://schemas.openxmlformats.org/officeDocument/2006/relationships/hyperlink" Target="http://www.kategorizacija.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468</Words>
  <Characters>2668</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admin.ms</dc:creator>
  <cp:lastModifiedBy>andreja</cp:lastModifiedBy>
  <cp:revision>3</cp:revision>
  <dcterms:created xsi:type="dcterms:W3CDTF">2019-02-12T13:17:00Z</dcterms:created>
  <dcterms:modified xsi:type="dcterms:W3CDTF">2019-02-21T13:20:00Z</dcterms:modified>
</cp:coreProperties>
</file>