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76D" w:rsidRPr="001F72DE" w:rsidRDefault="001F72DE" w:rsidP="002D076D">
      <w:pPr>
        <w:jc w:val="both"/>
        <w:rPr>
          <w:rFonts w:cstheme="minorHAnsi"/>
          <w:b/>
        </w:rPr>
      </w:pPr>
      <w:r w:rsidRPr="00F67367">
        <w:rPr>
          <w:rFonts w:cstheme="minorHAnsi"/>
          <w:noProof/>
          <w:lang w:eastAsia="sl-SI"/>
        </w:rPr>
        <w:drawing>
          <wp:inline distT="0" distB="0" distL="0" distR="0" wp14:anchorId="3872B7EC" wp14:editId="2406BCC4">
            <wp:extent cx="1219200" cy="323850"/>
            <wp:effectExtent l="0" t="0" r="0" b="0"/>
            <wp:docPr id="1" name="Slika 1" descr="AJPES-Logo-Outloo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AJPES-Logo-Outlook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7367">
        <w:rPr>
          <w:rFonts w:cstheme="minorHAnsi"/>
          <w:b/>
        </w:rPr>
        <w:t xml:space="preserve">    </w:t>
      </w:r>
      <w:r w:rsidRPr="00F67367">
        <w:rPr>
          <w:rFonts w:cstheme="minorHAnsi"/>
          <w:b/>
        </w:rPr>
        <w:tab/>
      </w:r>
      <w:r w:rsidRPr="00F67367">
        <w:rPr>
          <w:rFonts w:cstheme="minorHAnsi"/>
          <w:b/>
          <w:sz w:val="44"/>
          <w:szCs w:val="44"/>
        </w:rPr>
        <w:t>Obvešča</w:t>
      </w:r>
      <w:r w:rsidRPr="00F67367">
        <w:rPr>
          <w:rFonts w:cstheme="minorHAnsi"/>
          <w:b/>
          <w:sz w:val="44"/>
          <w:szCs w:val="44"/>
        </w:rPr>
        <w:tab/>
      </w:r>
      <w:r w:rsidRPr="00F67367">
        <w:rPr>
          <w:rFonts w:cstheme="minorHAnsi"/>
          <w:b/>
          <w:sz w:val="44"/>
          <w:szCs w:val="44"/>
        </w:rPr>
        <w:tab/>
      </w:r>
      <w:r w:rsidRPr="00F67367">
        <w:rPr>
          <w:rFonts w:cstheme="minorHAnsi"/>
          <w:b/>
          <w:sz w:val="44"/>
          <w:szCs w:val="44"/>
        </w:rPr>
        <w:tab/>
      </w:r>
      <w:r w:rsidRPr="00F67367">
        <w:rPr>
          <w:rFonts w:cstheme="minorHAnsi"/>
          <w:b/>
          <w:sz w:val="44"/>
          <w:szCs w:val="44"/>
        </w:rPr>
        <w:tab/>
      </w:r>
      <w:r w:rsidRPr="00F67367">
        <w:rPr>
          <w:rFonts w:cstheme="minorHAnsi"/>
          <w:b/>
          <w:sz w:val="44"/>
          <w:szCs w:val="44"/>
        </w:rPr>
        <w:tab/>
      </w:r>
      <w:r w:rsidRPr="00F67367">
        <w:rPr>
          <w:rFonts w:cstheme="minorHAnsi"/>
          <w:b/>
          <w:sz w:val="44"/>
          <w:szCs w:val="44"/>
        </w:rPr>
        <w:tab/>
      </w:r>
      <w:r w:rsidR="00955CF3">
        <w:rPr>
          <w:rFonts w:cstheme="minorHAnsi"/>
          <w:b/>
        </w:rPr>
        <w:t>MAJ</w:t>
      </w:r>
      <w:bookmarkStart w:id="0" w:name="_GoBack"/>
      <w:bookmarkEnd w:id="0"/>
      <w:r w:rsidRPr="00F67367">
        <w:rPr>
          <w:rFonts w:cstheme="minorHAnsi"/>
          <w:b/>
        </w:rPr>
        <w:t xml:space="preserve"> 2018</w:t>
      </w:r>
      <w:r>
        <w:rPr>
          <w:rFonts w:cstheme="minorHAnsi"/>
          <w:b/>
        </w:rPr>
        <w:pict>
          <v:rect id="_x0000_i1031" style="width:0;height:1.5pt" o:hralign="center" o:hrstd="t" o:hr="t" fillcolor="#a0a0a0" stroked="f"/>
        </w:pict>
      </w:r>
      <w:r w:rsidR="002D076D" w:rsidRPr="001F72DE">
        <w:rPr>
          <w:b/>
          <w:color w:val="E36C0A" w:themeColor="accent6" w:themeShade="BF"/>
          <w:sz w:val="24"/>
          <w:szCs w:val="24"/>
          <w:u w:val="single"/>
        </w:rPr>
        <w:t>NOVO</w:t>
      </w:r>
      <w:r w:rsidR="0024226B" w:rsidRPr="001F72DE">
        <w:rPr>
          <w:b/>
          <w:color w:val="E36C0A" w:themeColor="accent6" w:themeShade="BF"/>
          <w:sz w:val="24"/>
          <w:szCs w:val="24"/>
          <w:u w:val="single"/>
        </w:rPr>
        <w:t xml:space="preserve"> - LEI</w:t>
      </w:r>
    </w:p>
    <w:p w:rsidR="004475C1" w:rsidRDefault="002D076D" w:rsidP="002D076D">
      <w:pPr>
        <w:jc w:val="both"/>
      </w:pPr>
      <w:r w:rsidRPr="002D076D">
        <w:t>AJPES je</w:t>
      </w:r>
      <w:r>
        <w:t xml:space="preserve"> v mesecu maju postal </w:t>
      </w:r>
      <w:hyperlink r:id="rId7" w:history="1">
        <w:r w:rsidRPr="002D076D">
          <w:rPr>
            <w:rStyle w:val="Hiperpovezava"/>
          </w:rPr>
          <w:t>akreditirani izdajatelj</w:t>
        </w:r>
      </w:hyperlink>
      <w:r w:rsidRPr="002D076D">
        <w:t xml:space="preserve"> </w:t>
      </w:r>
      <w:r>
        <w:t xml:space="preserve">mednarodnega </w:t>
      </w:r>
      <w:r w:rsidRPr="002D076D">
        <w:t xml:space="preserve">identifikatorja pravnih subjektov </w:t>
      </w:r>
      <w:r w:rsidRPr="004475C1">
        <w:rPr>
          <w:b/>
          <w:color w:val="E36C0A" w:themeColor="accent6" w:themeShade="BF"/>
        </w:rPr>
        <w:t xml:space="preserve">LEI </w:t>
      </w:r>
      <w:r w:rsidRPr="002D076D">
        <w:t xml:space="preserve">(Legal </w:t>
      </w:r>
      <w:proofErr w:type="spellStart"/>
      <w:r w:rsidRPr="002D076D">
        <w:t>Entity</w:t>
      </w:r>
      <w:proofErr w:type="spellEnd"/>
      <w:r w:rsidRPr="002D076D">
        <w:t xml:space="preserve"> </w:t>
      </w:r>
      <w:proofErr w:type="spellStart"/>
      <w:r w:rsidRPr="002D076D">
        <w:t>Identifier</w:t>
      </w:r>
      <w:proofErr w:type="spellEnd"/>
      <w:r w:rsidRPr="002D076D">
        <w:t xml:space="preserve">). LEI je edinstvena 20-mestna koda, ki se dodeljuje po standardu </w:t>
      </w:r>
      <w:hyperlink r:id="rId8" w:history="1">
        <w:r w:rsidRPr="002D076D">
          <w:rPr>
            <w:rStyle w:val="Hiperpovezava"/>
          </w:rPr>
          <w:t>ISO 17442</w:t>
        </w:r>
      </w:hyperlink>
      <w:r w:rsidRPr="002D076D">
        <w:t>.  Namen LEI je globalna enoli</w:t>
      </w:r>
      <w:r>
        <w:t>čna identifikacija pravne osebe,</w:t>
      </w:r>
      <w:r w:rsidRPr="002D076D">
        <w:t xml:space="preserve"> ki sodelujejo v finančnih transakcijah</w:t>
      </w:r>
      <w:r>
        <w:t>, s čemer se zagotavlja večjo preglednost na trgu.</w:t>
      </w:r>
      <w:r w:rsidR="0024226B">
        <w:t xml:space="preserve"> </w:t>
      </w:r>
    </w:p>
    <w:p w:rsidR="002D076D" w:rsidRPr="002D076D" w:rsidRDefault="002D076D" w:rsidP="002D076D">
      <w:pPr>
        <w:jc w:val="both"/>
      </w:pPr>
      <w:r w:rsidRPr="002D076D">
        <w:t xml:space="preserve">Zaradi navedenih prednosti vse več </w:t>
      </w:r>
      <w:proofErr w:type="spellStart"/>
      <w:r w:rsidRPr="002D076D">
        <w:t>regulatornih</w:t>
      </w:r>
      <w:proofErr w:type="spellEnd"/>
      <w:r w:rsidRPr="002D076D">
        <w:t xml:space="preserve"> in nadzornih organov od zavezancev za poročanje zahteva pridobitev LEI kode, saj omogoča oblikovanje skladne, smotrne in učinkovite nadzorniške prakse.</w:t>
      </w:r>
    </w:p>
    <w:p w:rsidR="002D076D" w:rsidRPr="002D076D" w:rsidRDefault="002D076D" w:rsidP="002D076D">
      <w:pPr>
        <w:spacing w:after="0"/>
        <w:jc w:val="both"/>
      </w:pPr>
      <w:r w:rsidRPr="002D076D">
        <w:t>LEI lahko hitro, ugodno in enostavno pridobite pri AJPES:</w:t>
      </w:r>
    </w:p>
    <w:p w:rsidR="002D076D" w:rsidRPr="002D076D" w:rsidRDefault="00955CF3" w:rsidP="002D076D">
      <w:pPr>
        <w:numPr>
          <w:ilvl w:val="0"/>
          <w:numId w:val="1"/>
        </w:numPr>
        <w:spacing w:after="0"/>
        <w:jc w:val="both"/>
      </w:pPr>
      <w:hyperlink r:id="rId9" w:history="1">
        <w:r w:rsidR="002D076D" w:rsidRPr="002D076D">
          <w:rPr>
            <w:rStyle w:val="Hiperpovezava"/>
          </w:rPr>
          <w:t>Prijavite se</w:t>
        </w:r>
      </w:hyperlink>
      <w:r w:rsidR="002D076D" w:rsidRPr="002D076D">
        <w:t xml:space="preserve"> na portal AJPES.</w:t>
      </w:r>
    </w:p>
    <w:p w:rsidR="002D076D" w:rsidRPr="002D076D" w:rsidRDefault="002D076D" w:rsidP="002D076D">
      <w:pPr>
        <w:numPr>
          <w:ilvl w:val="0"/>
          <w:numId w:val="1"/>
        </w:numPr>
        <w:spacing w:after="0"/>
        <w:jc w:val="both"/>
      </w:pPr>
      <w:r w:rsidRPr="002D076D">
        <w:t>Izpolnite spletno vlogo in pripnite obvezne priloge</w:t>
      </w:r>
    </w:p>
    <w:p w:rsidR="002D076D" w:rsidRPr="002D076D" w:rsidRDefault="002D076D" w:rsidP="002D076D">
      <w:pPr>
        <w:numPr>
          <w:ilvl w:val="0"/>
          <w:numId w:val="1"/>
        </w:numPr>
        <w:spacing w:after="0"/>
        <w:jc w:val="both"/>
      </w:pPr>
      <w:r w:rsidRPr="002D076D">
        <w:t>Plačajte nadomestilo za izdajo LEI</w:t>
      </w:r>
    </w:p>
    <w:p w:rsidR="004475C1" w:rsidRDefault="002D076D" w:rsidP="002D076D">
      <w:pPr>
        <w:numPr>
          <w:ilvl w:val="0"/>
          <w:numId w:val="1"/>
        </w:numPr>
        <w:spacing w:after="0"/>
        <w:jc w:val="both"/>
      </w:pPr>
      <w:r w:rsidRPr="002D076D">
        <w:t>Počakajte na verifikacijo in obvestilo o dodeljeni LEI kodi. </w:t>
      </w:r>
    </w:p>
    <w:p w:rsidR="001F72DE" w:rsidRDefault="001F72DE" w:rsidP="001F72DE">
      <w:pPr>
        <w:spacing w:after="0"/>
        <w:ind w:left="720"/>
        <w:jc w:val="both"/>
      </w:pPr>
    </w:p>
    <w:p w:rsidR="002D076D" w:rsidRPr="001F72DE" w:rsidRDefault="002D076D" w:rsidP="002D076D">
      <w:pPr>
        <w:jc w:val="both"/>
        <w:rPr>
          <w:b/>
          <w:color w:val="0070C0"/>
          <w:sz w:val="24"/>
          <w:szCs w:val="24"/>
          <w:u w:val="single"/>
        </w:rPr>
      </w:pPr>
      <w:r w:rsidRPr="001F72DE">
        <w:rPr>
          <w:b/>
          <w:color w:val="0070C0"/>
          <w:sz w:val="24"/>
          <w:szCs w:val="24"/>
          <w:u w:val="single"/>
        </w:rPr>
        <w:t>Kako smo poslovali v Pomurju v letu 2017?</w:t>
      </w:r>
    </w:p>
    <w:p w:rsidR="004475C1" w:rsidRDefault="0024226B" w:rsidP="002D076D">
      <w:pPr>
        <w:jc w:val="both"/>
        <w:rPr>
          <w:b/>
          <w:color w:val="0070C0"/>
        </w:rPr>
      </w:pPr>
      <w:r>
        <w:t xml:space="preserve">V AJPES Izpostavi Murska Sobota smo </w:t>
      </w:r>
      <w:r w:rsidR="004475C1">
        <w:t xml:space="preserve">prejeli in </w:t>
      </w:r>
      <w:r>
        <w:t>obdelal</w:t>
      </w:r>
      <w:r w:rsidR="004475C1">
        <w:t>i</w:t>
      </w:r>
      <w:r>
        <w:t xml:space="preserve"> 1875 letnih poročil gospodarskih družb in 2690 </w:t>
      </w:r>
      <w:r w:rsidR="004475C1">
        <w:t xml:space="preserve">letnih poročil </w:t>
      </w:r>
      <w:r>
        <w:t>samostojnih podjetnikov.</w:t>
      </w:r>
      <w:r w:rsidR="004475C1">
        <w:t xml:space="preserve"> </w:t>
      </w:r>
      <w:r>
        <w:t xml:space="preserve"> Letna poročila posameznih poslovnih subjektov  so javno objavljena in dostopna na portalu AJPES na povezavi </w:t>
      </w:r>
      <w:hyperlink r:id="rId10" w:history="1">
        <w:r w:rsidRPr="00C069F8">
          <w:rPr>
            <w:rStyle w:val="Hiperpovezava"/>
          </w:rPr>
          <w:t>https://www.ajpes.si/jolp/</w:t>
        </w:r>
      </w:hyperlink>
      <w:r>
        <w:t xml:space="preserve">. Na podlagi obdelanih letnih poročil smo v Izpostavi Murska Sobota pripravili Informacijo o poslovanju v Pomurski regiji v letu 2017, ki jo najdete na </w:t>
      </w:r>
      <w:hyperlink r:id="rId11" w:history="1">
        <w:r w:rsidRPr="00C069F8">
          <w:rPr>
            <w:rStyle w:val="Hiperpovezava"/>
          </w:rPr>
          <w:t>https://www.ajpes.si/Letna_porocila/Informacije</w:t>
        </w:r>
      </w:hyperlink>
      <w:r>
        <w:t xml:space="preserve">, kjer so objavljene tudi informacije drugih regij in republiška informacija. </w:t>
      </w:r>
      <w:r w:rsidR="004475C1">
        <w:t>Neka</w:t>
      </w:r>
      <w:r w:rsidR="001F72DE">
        <w:t>j</w:t>
      </w:r>
      <w:r w:rsidR="004475C1">
        <w:t xml:space="preserve"> osnovnih podatkov glede na predhodno leto najdete na spodnjih </w:t>
      </w:r>
      <w:proofErr w:type="spellStart"/>
      <w:r w:rsidR="004475C1">
        <w:t>piktogramih</w:t>
      </w:r>
      <w:proofErr w:type="spellEnd"/>
      <w:r w:rsidR="004475C1">
        <w:t>.</w:t>
      </w:r>
    </w:p>
    <w:p w:rsidR="004475C1" w:rsidRDefault="004475C1" w:rsidP="002D076D">
      <w:pPr>
        <w:jc w:val="both"/>
        <w:rPr>
          <w:b/>
          <w:color w:val="0070C0"/>
        </w:rPr>
        <w:sectPr w:rsidR="004475C1" w:rsidSect="004475C1">
          <w:pgSz w:w="11906" w:h="16838"/>
          <w:pgMar w:top="1418" w:right="851" w:bottom="567" w:left="851" w:header="709" w:footer="709" w:gutter="0"/>
          <w:cols w:space="708"/>
          <w:docGrid w:linePitch="360"/>
        </w:sectPr>
      </w:pPr>
    </w:p>
    <w:p w:rsidR="004475C1" w:rsidRDefault="004475C1" w:rsidP="002D076D">
      <w:pPr>
        <w:jc w:val="both"/>
        <w:rPr>
          <w:b/>
          <w:color w:val="0070C0"/>
        </w:rPr>
      </w:pPr>
    </w:p>
    <w:p w:rsidR="002D076D" w:rsidRDefault="0024226B" w:rsidP="002D076D">
      <w:pPr>
        <w:jc w:val="both"/>
        <w:rPr>
          <w:b/>
          <w:color w:val="0070C0"/>
        </w:rPr>
      </w:pPr>
      <w:r>
        <w:rPr>
          <w:b/>
          <w:color w:val="0070C0"/>
        </w:rPr>
        <w:t>Gospodarske družbe</w:t>
      </w:r>
    </w:p>
    <w:p w:rsidR="002D076D" w:rsidRDefault="0024226B" w:rsidP="004475C1">
      <w:pPr>
        <w:rPr>
          <w:b/>
          <w:color w:val="0070C0"/>
        </w:rPr>
      </w:pPr>
      <w:r>
        <w:rPr>
          <w:b/>
          <w:noProof/>
          <w:color w:val="0070C0"/>
          <w:lang w:eastAsia="sl-SI"/>
        </w:rPr>
        <w:drawing>
          <wp:inline distT="0" distB="0" distL="0" distR="0" wp14:anchorId="3AC39CC8" wp14:editId="7D626F22">
            <wp:extent cx="2819400" cy="3457575"/>
            <wp:effectExtent l="0" t="0" r="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457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226B" w:rsidRDefault="0024226B" w:rsidP="002D076D">
      <w:pPr>
        <w:jc w:val="both"/>
        <w:rPr>
          <w:b/>
          <w:color w:val="0070C0"/>
        </w:rPr>
      </w:pPr>
    </w:p>
    <w:p w:rsidR="0024226B" w:rsidRDefault="0024226B" w:rsidP="002D076D">
      <w:pPr>
        <w:jc w:val="both"/>
        <w:rPr>
          <w:b/>
          <w:color w:val="0070C0"/>
        </w:rPr>
      </w:pPr>
      <w:r>
        <w:rPr>
          <w:b/>
          <w:color w:val="0070C0"/>
        </w:rPr>
        <w:t>Samostojni podjetniki</w:t>
      </w:r>
    </w:p>
    <w:p w:rsidR="0024226B" w:rsidRPr="002D076D" w:rsidRDefault="0024226B" w:rsidP="004475C1">
      <w:pPr>
        <w:jc w:val="right"/>
        <w:rPr>
          <w:b/>
          <w:color w:val="0070C0"/>
        </w:rPr>
      </w:pPr>
      <w:r>
        <w:rPr>
          <w:b/>
          <w:noProof/>
          <w:color w:val="0070C0"/>
          <w:lang w:eastAsia="sl-SI"/>
        </w:rPr>
        <w:drawing>
          <wp:inline distT="0" distB="0" distL="0" distR="0" wp14:anchorId="444E5A52" wp14:editId="0CEBD615">
            <wp:extent cx="2788168" cy="3457575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084" cy="34661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4226B" w:rsidRPr="002D076D" w:rsidSect="004475C1">
      <w:type w:val="continuous"/>
      <w:pgSz w:w="11906" w:h="16838"/>
      <w:pgMar w:top="1418" w:right="851" w:bottom="567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B68C1"/>
    <w:multiLevelType w:val="multilevel"/>
    <w:tmpl w:val="22043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76D"/>
    <w:rsid w:val="000E53E2"/>
    <w:rsid w:val="001F72DE"/>
    <w:rsid w:val="0024226B"/>
    <w:rsid w:val="002737A0"/>
    <w:rsid w:val="002D076D"/>
    <w:rsid w:val="004475C1"/>
    <w:rsid w:val="00476DD3"/>
    <w:rsid w:val="006A30F5"/>
    <w:rsid w:val="00955CF3"/>
    <w:rsid w:val="00E369F0"/>
    <w:rsid w:val="00E9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2D076D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42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422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2D076D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42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422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0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292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7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leif.org/en/lei-focus/about-the-lei/iso-17442-the-lei-code-structure" TargetMode="External"/><Relationship Id="rId13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hyperlink" Target="https://www.ajpes.si/Doc/Registri/LEI/AJPES_Certificate.pdf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s://www.ajpes.si/Letna_porocila/Informacij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ajpes.si/jolp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jpes.si/login/login.as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</dc:creator>
  <cp:lastModifiedBy>Martina Krevh</cp:lastModifiedBy>
  <cp:revision>4</cp:revision>
  <dcterms:created xsi:type="dcterms:W3CDTF">2018-05-24T06:37:00Z</dcterms:created>
  <dcterms:modified xsi:type="dcterms:W3CDTF">2018-05-24T06:44:00Z</dcterms:modified>
</cp:coreProperties>
</file>