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A7" w:rsidRPr="00263CFA" w:rsidRDefault="00FD03A7" w:rsidP="00236DF7">
      <w:pPr>
        <w:spacing w:line="240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:rsidR="00FE7A1D" w:rsidRPr="00263CFA" w:rsidRDefault="00FE7A1D" w:rsidP="00236DF7">
      <w:pPr>
        <w:spacing w:line="240" w:lineRule="auto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Tabelamrea"/>
        <w:tblW w:w="9737" w:type="dxa"/>
        <w:tblInd w:w="10" w:type="dxa"/>
        <w:tblBorders>
          <w:top w:val="single" w:sz="8" w:space="0" w:color="A50021"/>
          <w:left w:val="single" w:sz="8" w:space="0" w:color="A50021"/>
          <w:bottom w:val="single" w:sz="8" w:space="0" w:color="A50021"/>
          <w:right w:val="single" w:sz="8" w:space="0" w:color="A50021"/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737"/>
      </w:tblGrid>
      <w:tr w:rsidR="009216E5" w:rsidTr="00A24E77">
        <w:trPr>
          <w:trHeight w:val="1255"/>
        </w:trPr>
        <w:tc>
          <w:tcPr>
            <w:tcW w:w="9737" w:type="dxa"/>
            <w:shd w:val="clear" w:color="auto" w:fill="FFE599" w:themeFill="accent4" w:themeFillTint="66"/>
          </w:tcPr>
          <w:p w:rsidR="001703DA" w:rsidRPr="004A3871" w:rsidRDefault="001703DA" w:rsidP="009216E5">
            <w:pPr>
              <w:pStyle w:val="Glava"/>
              <w:rPr>
                <w:rFonts w:asciiTheme="minorHAnsi" w:hAnsiTheme="minorHAnsi" w:cstheme="minorHAnsi"/>
                <w:color w:val="auto"/>
              </w:rPr>
            </w:pPr>
          </w:p>
          <w:p w:rsidR="009216E5" w:rsidRPr="009216E5" w:rsidRDefault="009216E5" w:rsidP="009216E5">
            <w:pPr>
              <w:pStyle w:val="Glava"/>
            </w:pPr>
            <w:r>
              <w:rPr>
                <w:rFonts w:asciiTheme="minorHAnsi" w:hAnsiTheme="minorHAnsi" w:cstheme="minorHAnsi"/>
                <w:color w:val="auto"/>
              </w:rPr>
              <w:tab/>
            </w:r>
            <w:r w:rsidRPr="00F01106">
              <w:rPr>
                <w:noProof/>
                <w14:textOutline w14:w="9525" w14:cap="rnd" w14:cmpd="sng" w14:algn="ctr">
                  <w14:solidFill>
                    <w14:srgbClr w14:val="0070C0"/>
                  </w14:solidFill>
                  <w14:prstDash w14:val="solid"/>
                  <w14:bevel/>
                </w14:textOutline>
              </w:rPr>
              <w:drawing>
                <wp:anchor distT="0" distB="0" distL="114300" distR="114300" simplePos="0" relativeHeight="251659264" behindDoc="0" locked="0" layoutInCell="1" allowOverlap="1" wp14:anchorId="7188D96D" wp14:editId="2A0A1F0A">
                  <wp:simplePos x="0" y="0"/>
                  <wp:positionH relativeFrom="margin">
                    <wp:posOffset>4460973</wp:posOffset>
                  </wp:positionH>
                  <wp:positionV relativeFrom="paragraph">
                    <wp:posOffset>-93021</wp:posOffset>
                  </wp:positionV>
                  <wp:extent cx="1348105" cy="755650"/>
                  <wp:effectExtent l="0" t="0" r="4445" b="635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105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670">
              <w:rPr>
                <w:noProof/>
                <w:shd w:val="clear" w:color="auto" w:fill="FFE599" w:themeFill="accent4" w:themeFillTint="66"/>
              </w:rPr>
              <w:drawing>
                <wp:inline distT="0" distB="0" distL="0" distR="0" wp14:anchorId="61558099" wp14:editId="28334FBD">
                  <wp:extent cx="2251504" cy="648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50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9216E5" w:rsidTr="00A24E77">
        <w:tc>
          <w:tcPr>
            <w:tcW w:w="9737" w:type="dxa"/>
            <w:shd w:val="clear" w:color="auto" w:fill="FFE599" w:themeFill="accent4" w:themeFillTint="66"/>
          </w:tcPr>
          <w:p w:rsidR="009216E5" w:rsidRDefault="009216E5" w:rsidP="00236DF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</w:rPr>
            </w:pPr>
          </w:p>
          <w:p w:rsidR="009216E5" w:rsidRPr="002B0255" w:rsidRDefault="009216E5" w:rsidP="009216E5">
            <w:pPr>
              <w:spacing w:after="0" w:line="240" w:lineRule="auto"/>
              <w:ind w:left="11" w:right="369" w:hanging="11"/>
              <w:jc w:val="center"/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32"/>
                <w:szCs w:val="32"/>
                <w:lang w:val="pl-PL"/>
              </w:rPr>
            </w:pPr>
            <w:r w:rsidRPr="002B0255"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32"/>
                <w:szCs w:val="32"/>
                <w:lang w:val="pl-PL"/>
              </w:rPr>
              <w:t>GARANCIJE BANČNIM KREDITOM V REGIJI POMURJE</w:t>
            </w:r>
          </w:p>
          <w:p w:rsidR="009216E5" w:rsidRPr="002B0255" w:rsidRDefault="009216E5" w:rsidP="009216E5">
            <w:pPr>
              <w:spacing w:after="0" w:line="240" w:lineRule="auto"/>
              <w:ind w:left="11" w:right="369" w:hanging="11"/>
              <w:jc w:val="center"/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32"/>
                <w:szCs w:val="32"/>
                <w:lang w:val="pl-PL"/>
              </w:rPr>
            </w:pPr>
            <w:r w:rsidRPr="002B0255">
              <w:rPr>
                <w:rFonts w:asciiTheme="minorHAnsi" w:hAnsiTheme="minorHAnsi" w:cstheme="minorHAnsi"/>
                <w:b/>
                <w:bCs/>
                <w:color w:val="171717" w:themeColor="background2" w:themeShade="1A"/>
                <w:sz w:val="32"/>
                <w:szCs w:val="32"/>
                <w:lang w:val="pl-PL"/>
              </w:rPr>
              <w:t>v okviru Regijske garancijske sheme Pomurje</w:t>
            </w:r>
          </w:p>
          <w:p w:rsidR="009216E5" w:rsidRPr="002B0255" w:rsidRDefault="009216E5" w:rsidP="009216E5">
            <w:pPr>
              <w:autoSpaceDE w:val="0"/>
              <w:autoSpaceDN w:val="0"/>
              <w:adjustRightInd w:val="0"/>
              <w:spacing w:line="240" w:lineRule="auto"/>
              <w:rPr>
                <w:rStyle w:val="Naslovknjige"/>
                <w:rFonts w:asciiTheme="minorHAnsi" w:hAnsiTheme="minorHAnsi" w:cstheme="minorHAnsi"/>
                <w:b w:val="0"/>
                <w:i w:val="0"/>
                <w:color w:val="171717" w:themeColor="background2" w:themeShade="1A"/>
                <w:lang w:val="pl-PL"/>
              </w:rPr>
            </w:pPr>
          </w:p>
          <w:p w:rsidR="009216E5" w:rsidRPr="002B0255" w:rsidRDefault="009216E5" w:rsidP="009216E5">
            <w:pPr>
              <w:autoSpaceDE w:val="0"/>
              <w:autoSpaceDN w:val="0"/>
              <w:adjustRightInd w:val="0"/>
              <w:spacing w:after="100" w:line="240" w:lineRule="auto"/>
              <w:rPr>
                <w:rFonts w:asciiTheme="minorHAnsi" w:hAnsiTheme="minorHAnsi" w:cstheme="minorHAnsi"/>
                <w:b/>
                <w:color w:val="171717" w:themeColor="background2" w:themeShade="1A"/>
              </w:rPr>
            </w:pPr>
            <w:r w:rsidRPr="002B0255">
              <w:rPr>
                <w:rStyle w:val="Naslovknjige"/>
                <w:rFonts w:asciiTheme="minorHAnsi" w:hAnsiTheme="minorHAnsi" w:cstheme="minorHAnsi"/>
                <w:i w:val="0"/>
                <w:color w:val="171717" w:themeColor="background2" w:themeShade="1A"/>
              </w:rPr>
              <w:t>Razvojna agencija Sinergija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, </w:t>
            </w:r>
            <w:r w:rsidRPr="002B0255">
              <w:rPr>
                <w:rFonts w:asciiTheme="minorHAnsi" w:eastAsiaTheme="minorEastAsia" w:hAnsiTheme="minorHAnsi" w:cstheme="minorHAnsi"/>
                <w:bCs/>
                <w:noProof/>
                <w:color w:val="171717" w:themeColor="background2" w:themeShade="1A"/>
              </w:rPr>
              <w:t>sodelujoča razvojna institucija RRA za Pomurje</w:t>
            </w:r>
            <w:r w:rsidRPr="002B0255">
              <w:rPr>
                <w:rStyle w:val="Naslovknjige"/>
                <w:rFonts w:asciiTheme="minorHAnsi" w:hAnsiTheme="minorHAnsi" w:cstheme="minorHAnsi"/>
                <w:i w:val="0"/>
                <w:color w:val="171717" w:themeColor="background2" w:themeShade="1A"/>
              </w:rPr>
              <w:t>,</w:t>
            </w:r>
            <w:r w:rsidRPr="002B0255">
              <w:rPr>
                <w:rStyle w:val="Naslovknjige"/>
                <w:rFonts w:asciiTheme="minorHAnsi" w:hAnsiTheme="minorHAnsi" w:cstheme="minorHAnsi"/>
                <w:b w:val="0"/>
                <w:i w:val="0"/>
                <w:color w:val="171717" w:themeColor="background2" w:themeShade="1A"/>
              </w:rPr>
              <w:t xml:space="preserve"> kot izvajalec regijske garancijske sheme v Pomurski regiji </w:t>
            </w:r>
            <w:r w:rsidRPr="002B0255">
              <w:rPr>
                <w:rStyle w:val="Naslovknjige"/>
                <w:rFonts w:asciiTheme="minorHAnsi" w:hAnsiTheme="minorHAnsi" w:cstheme="minorHAnsi"/>
                <w:i w:val="0"/>
                <w:color w:val="171717" w:themeColor="background2" w:themeShade="1A"/>
              </w:rPr>
              <w:t>obvešča, da so na</w:t>
            </w:r>
            <w:r w:rsidRPr="002B0255">
              <w:rPr>
                <w:rStyle w:val="Naslovknjige"/>
                <w:rFonts w:asciiTheme="minorHAnsi" w:hAnsiTheme="minorHAnsi" w:cstheme="minorHAnsi"/>
                <w:i w:val="0"/>
                <w:color w:val="171717" w:themeColor="background2" w:themeShade="1A"/>
                <w:lang w:val="pl-PL"/>
              </w:rPr>
              <w:t xml:space="preserve"> </w:t>
            </w:r>
            <w:r w:rsidRPr="002B0255">
              <w:rPr>
                <w:rStyle w:val="Naslovknjige"/>
                <w:rFonts w:asciiTheme="minorHAnsi" w:hAnsiTheme="minorHAnsi" w:cstheme="minorHAnsi"/>
                <w:i w:val="0"/>
                <w:color w:val="171717" w:themeColor="background2" w:themeShade="1A"/>
              </w:rPr>
              <w:t>voljo garancije bančnim kreditom v regiji Pomurje v okviru Regijske garancijske sheme</w:t>
            </w:r>
            <w:r w:rsidRPr="002B0255">
              <w:rPr>
                <w:rStyle w:val="Naslovknjige"/>
                <w:rFonts w:asciiTheme="minorHAnsi" w:hAnsiTheme="minorHAnsi" w:cstheme="minorHAnsi"/>
                <w:b w:val="0"/>
                <w:i w:val="0"/>
                <w:color w:val="171717" w:themeColor="background2" w:themeShade="1A"/>
              </w:rPr>
              <w:t xml:space="preserve"> (v nadaljevanju RGS) 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in vabi vse zainteresirane upravičence, da na podlagi objavljenega Javnega razpisa 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za garancije bančnim kreditom za </w:t>
            </w:r>
            <w:proofErr w:type="spellStart"/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mikro</w:t>
            </w:r>
            <w:proofErr w:type="spellEnd"/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, mala in srednja podjetja v okviru regijske garancijske sheme v regiji Pomurje (Ur.l. RS št. 54/2017 z dne 29. 9. 2017) 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oddajo vlogo za pridobitev garancije za bančne kredite.</w:t>
            </w:r>
          </w:p>
          <w:p w:rsidR="009216E5" w:rsidRPr="002B0255" w:rsidRDefault="009216E5" w:rsidP="009216E5">
            <w:pPr>
              <w:autoSpaceDE w:val="0"/>
              <w:autoSpaceDN w:val="0"/>
              <w:adjustRightInd w:val="0"/>
              <w:spacing w:after="100" w:line="240" w:lineRule="auto"/>
              <w:ind w:left="0" w:right="0" w:firstLine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Garancije RGS Pomurje za bančne kredite na območju Pomurske regije razpisuje RA Sinergija kot izvajalec 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po pogodbi s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Slovenskim regionalno razvojnim skladom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, ter 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v sodelovanju z bankami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: </w:t>
            </w:r>
            <w:r w:rsidRPr="002B0255">
              <w:rPr>
                <w:rFonts w:asciiTheme="minorHAnsi" w:eastAsiaTheme="minorHAnsi" w:hAnsiTheme="minorHAnsi" w:cstheme="minorHAnsi"/>
                <w:color w:val="171717" w:themeColor="background2" w:themeShade="1A"/>
                <w:lang w:eastAsia="en-US"/>
              </w:rPr>
              <w:t xml:space="preserve">Delavsko hranilnico d.d., Banko </w:t>
            </w:r>
            <w:proofErr w:type="spellStart"/>
            <w:r w:rsidRPr="002B0255">
              <w:rPr>
                <w:rFonts w:asciiTheme="minorHAnsi" w:eastAsiaTheme="minorHAnsi" w:hAnsiTheme="minorHAnsi" w:cstheme="minorHAnsi"/>
                <w:color w:val="171717" w:themeColor="background2" w:themeShade="1A"/>
                <w:lang w:eastAsia="en-US"/>
              </w:rPr>
              <w:t>Sparkasse</w:t>
            </w:r>
            <w:proofErr w:type="spellEnd"/>
            <w:r w:rsidRPr="002B0255">
              <w:rPr>
                <w:rFonts w:asciiTheme="minorHAnsi" w:eastAsiaTheme="minorHAnsi" w:hAnsiTheme="minorHAnsi" w:cstheme="minorHAnsi"/>
                <w:color w:val="171717" w:themeColor="background2" w:themeShade="1A"/>
                <w:lang w:eastAsia="en-US"/>
              </w:rPr>
              <w:t xml:space="preserve"> d.d., NLB d.d., Novo KBM d.d. in Primorsko hranilnico Vipava d.d.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. </w:t>
            </w:r>
          </w:p>
          <w:p w:rsidR="009216E5" w:rsidRPr="002B0255" w:rsidRDefault="009216E5" w:rsidP="00D130E2">
            <w:pPr>
              <w:shd w:val="clear" w:color="auto" w:fill="FFE599" w:themeFill="accent4" w:themeFillTint="66"/>
              <w:spacing w:line="240" w:lineRule="auto"/>
              <w:rPr>
                <w:rFonts w:asciiTheme="minorHAnsi" w:hAnsiTheme="minorHAnsi" w:cstheme="minorHAnsi"/>
                <w:smallCaps/>
                <w:color w:val="171717" w:themeColor="background2" w:themeShade="1A"/>
              </w:rPr>
            </w:pPr>
            <w:r w:rsidRPr="002B0255">
              <w:rPr>
                <w:rStyle w:val="Neensklic"/>
                <w:rFonts w:asciiTheme="minorHAnsi" w:hAnsiTheme="minorHAnsi" w:cstheme="minorHAnsi"/>
                <w:b/>
                <w:smallCaps w:val="0"/>
                <w:color w:val="171717" w:themeColor="background2" w:themeShade="1A"/>
              </w:rPr>
              <w:t>UPRAVIČENCI</w:t>
            </w:r>
            <w:r w:rsidRPr="002B0255">
              <w:rPr>
                <w:rStyle w:val="Neensklic"/>
                <w:rFonts w:asciiTheme="minorHAnsi" w:hAnsiTheme="minorHAnsi" w:cstheme="minorHAnsi"/>
                <w:smallCaps w:val="0"/>
                <w:color w:val="171717" w:themeColor="background2" w:themeShade="1A"/>
              </w:rPr>
              <w:t xml:space="preserve"> do garancij so </w:t>
            </w:r>
            <w:r w:rsidRPr="002B0255">
              <w:rPr>
                <w:rStyle w:val="Neensklic"/>
                <w:rFonts w:asciiTheme="minorHAnsi" w:hAnsiTheme="minorHAnsi" w:cstheme="minorHAnsi"/>
                <w:b/>
                <w:smallCaps w:val="0"/>
                <w:color w:val="171717" w:themeColor="background2" w:themeShade="1A"/>
              </w:rPr>
              <w:t>g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ospodarski subjekti, ki delujejo in vlagajo na območju občin statistične regije Pomurje</w:t>
            </w:r>
            <w:r w:rsidRPr="002B0255">
              <w:rPr>
                <w:rFonts w:asciiTheme="minorHAnsi" w:hAnsiTheme="minorHAnsi" w:cstheme="minorHAnsi"/>
                <w:smallCaps/>
                <w:color w:val="171717" w:themeColor="background2" w:themeShade="1A"/>
              </w:rPr>
              <w:t>:</w:t>
            </w:r>
          </w:p>
          <w:p w:rsidR="009216E5" w:rsidRPr="002B0255" w:rsidRDefault="009216E5" w:rsidP="00D130E2">
            <w:pPr>
              <w:pStyle w:val="Brezrazmikov"/>
              <w:numPr>
                <w:ilvl w:val="0"/>
                <w:numId w:val="2"/>
              </w:numPr>
              <w:shd w:val="clear" w:color="auto" w:fill="FFE599" w:themeFill="accent4" w:themeFillTint="66"/>
              <w:ind w:right="0"/>
              <w:jc w:val="left"/>
              <w:rPr>
                <w:rFonts w:asciiTheme="minorHAnsi" w:hAnsiTheme="minorHAnsi" w:cstheme="minorHAnsi"/>
                <w:color w:val="171717" w:themeColor="background2" w:themeShade="1A"/>
              </w:rPr>
            </w:pPr>
            <w:proofErr w:type="spellStart"/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mikro</w:t>
            </w:r>
            <w:proofErr w:type="spellEnd"/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, male in srednje velike gospodarske družbe,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2"/>
              </w:numPr>
              <w:ind w:right="0"/>
              <w:jc w:val="left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samostojni podjetniki,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2"/>
              </w:numPr>
              <w:ind w:right="0"/>
              <w:jc w:val="left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zadruge,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00"/>
              <w:ind w:right="0"/>
              <w:jc w:val="left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socialna podjetja.</w:t>
            </w:r>
          </w:p>
          <w:p w:rsidR="009216E5" w:rsidRPr="002B0255" w:rsidRDefault="009216E5" w:rsidP="008A6670">
            <w:pPr>
              <w:shd w:val="clear" w:color="auto" w:fill="FFE599" w:themeFill="accent4" w:themeFillTint="66"/>
              <w:spacing w:line="240" w:lineRule="auto"/>
              <w:rPr>
                <w:rStyle w:val="Neensklic"/>
                <w:rFonts w:asciiTheme="minorHAnsi" w:hAnsiTheme="minorHAnsi" w:cstheme="minorHAnsi"/>
                <w:b/>
                <w:smallCaps w:val="0"/>
                <w:color w:val="171717" w:themeColor="background2" w:themeShade="1A"/>
              </w:rPr>
            </w:pPr>
            <w:r w:rsidRPr="002B0255">
              <w:rPr>
                <w:rStyle w:val="Neensklic"/>
                <w:rFonts w:asciiTheme="minorHAnsi" w:hAnsiTheme="minorHAnsi" w:cstheme="minorHAnsi"/>
                <w:b/>
                <w:smallCaps w:val="0"/>
                <w:color w:val="171717" w:themeColor="background2" w:themeShade="1A"/>
              </w:rPr>
              <w:t>POGOJI za pridobitev garancije: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4"/>
              </w:numPr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garancija znaša od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 50 do 80 % odobrenega bančnega kredita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; 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4"/>
              </w:numPr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najnižji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 znesek kredita je 8.000 EUR, 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najvišji znesek kredita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 pa 500.000 EUR; 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4"/>
              </w:numPr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doba vračanja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 je do 8 let, v nobenem primeru pa ne sme preseči 19. 03. 2025; 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4"/>
              </w:numPr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moratorij 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je možen do 12 mesecev oz. do 6 mesecev za kredite, ki so več kot 60 % namenjeni za obratna sredstva, in se všteva v čas skupne dobe vračanja kredita; </w:t>
            </w:r>
          </w:p>
          <w:p w:rsidR="009216E5" w:rsidRPr="002B0255" w:rsidRDefault="009216E5" w:rsidP="009420CA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eastAsiaTheme="minorHAnsi" w:hAnsiTheme="minorHAnsi" w:cstheme="minorHAnsi"/>
                <w:b/>
                <w:color w:val="171717" w:themeColor="background2" w:themeShade="1A"/>
                <w:lang w:eastAsia="en-US"/>
              </w:rPr>
              <w:t xml:space="preserve">upravičeni stroški za </w:t>
            </w:r>
            <w:r w:rsidRPr="002B0255">
              <w:rPr>
                <w:rFonts w:asciiTheme="minorHAnsi" w:eastAsiaTheme="minorHAnsi" w:hAnsiTheme="minorHAnsi" w:cstheme="minorHAnsi"/>
                <w:b/>
                <w:bCs/>
                <w:color w:val="171717" w:themeColor="background2" w:themeShade="1A"/>
                <w:lang w:eastAsia="en-US"/>
              </w:rPr>
              <w:t xml:space="preserve">obratna sredstva </w:t>
            </w:r>
            <w:r w:rsidRPr="002B0255">
              <w:rPr>
                <w:rFonts w:asciiTheme="minorHAnsi" w:eastAsiaTheme="minorHAnsi" w:hAnsiTheme="minorHAnsi" w:cstheme="minorHAnsi"/>
                <w:color w:val="171717" w:themeColor="background2" w:themeShade="1A"/>
                <w:lang w:eastAsia="en-US"/>
              </w:rPr>
              <w:t xml:space="preserve">so lahko do 100 %, vendar </w:t>
            </w:r>
            <w:r w:rsidRPr="002B0255">
              <w:rPr>
                <w:rFonts w:asciiTheme="minorHAnsi" w:eastAsiaTheme="minorHAnsi" w:hAnsiTheme="minorHAnsi" w:cstheme="minorHAnsi"/>
                <w:b/>
                <w:color w:val="171717" w:themeColor="background2" w:themeShade="1A"/>
                <w:lang w:eastAsia="en-US"/>
              </w:rPr>
              <w:t xml:space="preserve">največ </w:t>
            </w:r>
            <w:r w:rsidRPr="002B0255">
              <w:rPr>
                <w:rFonts w:asciiTheme="minorHAnsi" w:eastAsiaTheme="minorHAnsi" w:hAnsiTheme="minorHAnsi" w:cstheme="minorHAnsi"/>
                <w:b/>
                <w:bCs/>
                <w:color w:val="171717" w:themeColor="background2" w:themeShade="1A"/>
                <w:lang w:eastAsia="en-US"/>
              </w:rPr>
              <w:t>200.000,00 EUR; v</w:t>
            </w:r>
            <w:r w:rsidRPr="002B0255">
              <w:rPr>
                <w:rFonts w:asciiTheme="minorHAnsi" w:eastAsiaTheme="minorHAnsi" w:hAnsiTheme="minorHAnsi" w:cstheme="minorHAnsi"/>
                <w:color w:val="171717" w:themeColor="background2" w:themeShade="1A"/>
                <w:lang w:eastAsia="en-US"/>
              </w:rPr>
              <w:t xml:space="preserve"> primeru, ko delež upravičenih stroškov za obratna sredstva presega 60 % vseh upravičenih stroškov, se kredit odobri za </w:t>
            </w:r>
            <w:r w:rsidRPr="002B0255">
              <w:rPr>
                <w:rFonts w:asciiTheme="minorHAnsi" w:eastAsiaTheme="minorHAnsi" w:hAnsiTheme="minorHAnsi" w:cstheme="minorHAnsi"/>
                <w:b/>
                <w:bCs/>
                <w:color w:val="171717" w:themeColor="background2" w:themeShade="1A"/>
                <w:lang w:eastAsia="en-US"/>
              </w:rPr>
              <w:t>največ 3 leta;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4"/>
              </w:numPr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vlagatelj zavaruje prejeti kredit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 z garancijo Sklada v višini do 80 % vrednosti posojila in drugimi oblikami zavarovanj, kot jih dogovori z banko, odvisno od stopnje tveganosti projekta in vlagatelja; 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4"/>
              </w:numPr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RGS deluje po principu 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 xml:space="preserve">de </w:t>
            </w:r>
            <w:proofErr w:type="spellStart"/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minimis</w:t>
            </w:r>
            <w:proofErr w:type="spellEnd"/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; 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00"/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rok in način prijave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: do porabe sredstev oz. najpozneje do 19.04.2018; pisna vloga se odda priporočeno po pošti na naslov Razvojna agencija Sinergija d.o.o., Kranjčeva ulica 3, 9226 Moravske Toplice, ali osebno v pisarnah RA Sinergija, v Martjancih 36.</w:t>
            </w:r>
          </w:p>
          <w:p w:rsidR="009216E5" w:rsidRPr="002B0255" w:rsidRDefault="009216E5" w:rsidP="009216E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Theme="minorHAnsi" w:eastAsia="Times New Roman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eastAsia="Times New Roman" w:hAnsiTheme="minorHAnsi" w:cstheme="minorHAnsi"/>
                <w:b/>
                <w:color w:val="171717" w:themeColor="background2" w:themeShade="1A"/>
              </w:rPr>
              <w:t>Obrestna mera in stroški</w:t>
            </w:r>
            <w:r w:rsidRPr="002B0255">
              <w:rPr>
                <w:rFonts w:asciiTheme="minorHAnsi" w:eastAsia="Times New Roman" w:hAnsiTheme="minorHAnsi" w:cstheme="minorHAnsi"/>
                <w:color w:val="171717" w:themeColor="background2" w:themeShade="1A"/>
              </w:rPr>
              <w:t xml:space="preserve"> odobritve ter vodenja so različni po </w:t>
            </w:r>
            <w:r w:rsidRPr="002B0255">
              <w:rPr>
                <w:rStyle w:val="Neensklic"/>
                <w:rFonts w:asciiTheme="minorHAnsi" w:hAnsiTheme="minorHAnsi" w:cstheme="minorHAnsi"/>
                <w:smallCaps w:val="0"/>
                <w:color w:val="171717" w:themeColor="background2" w:themeShade="1A"/>
              </w:rPr>
              <w:t>sodelujočih</w:t>
            </w:r>
            <w:r w:rsidRPr="002B0255">
              <w:rPr>
                <w:rFonts w:asciiTheme="minorHAnsi" w:eastAsia="Times New Roman" w:hAnsiTheme="minorHAnsi" w:cstheme="minorHAnsi"/>
                <w:color w:val="171717" w:themeColor="background2" w:themeShade="1A"/>
              </w:rPr>
              <w:t xml:space="preserve"> bankah</w:t>
            </w:r>
            <w:r w:rsidRPr="002B0255">
              <w:rPr>
                <w:rStyle w:val="Neensklic"/>
                <w:rFonts w:asciiTheme="minorHAnsi" w:hAnsiTheme="minorHAnsi" w:cstheme="minorHAnsi"/>
                <w:smallCaps w:val="0"/>
                <w:color w:val="171717" w:themeColor="background2" w:themeShade="1A"/>
              </w:rPr>
              <w:t xml:space="preserve"> v RGS: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3"/>
              </w:numPr>
              <w:ind w:right="0"/>
              <w:rPr>
                <w:rFonts w:asciiTheme="minorHAnsi" w:eastAsia="Calibr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eastAsia="Calibri" w:hAnsiTheme="minorHAnsi" w:cstheme="minorHAnsi"/>
                <w:color w:val="171717" w:themeColor="background2" w:themeShade="1A"/>
              </w:rPr>
              <w:t xml:space="preserve">Delavska hranilnica d.d. Ljubljana = 6m EURIBOR + 1,85%; 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3"/>
              </w:numPr>
              <w:ind w:right="0"/>
              <w:rPr>
                <w:rFonts w:asciiTheme="minorHAnsi" w:eastAsia="Calibr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eastAsia="Calibri" w:hAnsiTheme="minorHAnsi" w:cstheme="minorHAnsi"/>
                <w:color w:val="171717" w:themeColor="background2" w:themeShade="1A"/>
              </w:rPr>
              <w:t xml:space="preserve">Banka SPARKASSE d.d. = 6m EURIBOR + 1,94%; 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3"/>
              </w:numPr>
              <w:ind w:right="0"/>
              <w:rPr>
                <w:rFonts w:asciiTheme="minorHAnsi" w:eastAsia="Calibr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eastAsia="Calibri" w:hAnsiTheme="minorHAnsi" w:cstheme="minorHAnsi"/>
                <w:color w:val="171717" w:themeColor="background2" w:themeShade="1A"/>
              </w:rPr>
              <w:t xml:space="preserve">NLB d.d. = 6m EURIBOR + 2,00%; 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3"/>
              </w:numPr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eastAsia="Calibri" w:hAnsiTheme="minorHAnsi" w:cstheme="minorHAnsi"/>
                <w:color w:val="171717" w:themeColor="background2" w:themeShade="1A"/>
              </w:rPr>
              <w:t>Nova KBM d.d. = 6m EURIB</w:t>
            </w:r>
            <w:bookmarkStart w:id="0" w:name="_GoBack"/>
            <w:bookmarkEnd w:id="0"/>
            <w:r w:rsidRPr="002B0255">
              <w:rPr>
                <w:rFonts w:asciiTheme="minorHAnsi" w:eastAsia="Calibri" w:hAnsiTheme="minorHAnsi" w:cstheme="minorHAnsi"/>
                <w:color w:val="171717" w:themeColor="background2" w:themeShade="1A"/>
              </w:rPr>
              <w:t xml:space="preserve">OR + 2,13%; </w:t>
            </w:r>
          </w:p>
          <w:p w:rsidR="009216E5" w:rsidRPr="002B0255" w:rsidRDefault="009216E5" w:rsidP="009420CA">
            <w:pPr>
              <w:pStyle w:val="Brezrazmikov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00"/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eastAsia="Calibri" w:hAnsiTheme="minorHAnsi" w:cstheme="minorHAnsi"/>
                <w:color w:val="171717" w:themeColor="background2" w:themeShade="1A"/>
              </w:rPr>
              <w:t>Primorska hranilnica Vipava d.d. = 6m EURIBOR + 2,13%.</w:t>
            </w:r>
          </w:p>
          <w:p w:rsidR="009216E5" w:rsidRPr="002B0255" w:rsidRDefault="009216E5" w:rsidP="009216E5">
            <w:pPr>
              <w:autoSpaceDE w:val="0"/>
              <w:autoSpaceDN w:val="0"/>
              <w:adjustRightInd w:val="0"/>
              <w:spacing w:after="100" w:line="240" w:lineRule="auto"/>
              <w:rPr>
                <w:rStyle w:val="Hiperpovezava"/>
                <w:rFonts w:asciiTheme="minorHAnsi" w:hAnsiTheme="minorHAnsi" w:cstheme="minorHAnsi"/>
                <w:color w:val="171717" w:themeColor="background2" w:themeShade="1A"/>
                <w:u w:val="none"/>
              </w:rPr>
            </w:pPr>
            <w:r w:rsidRPr="002B0255">
              <w:rPr>
                <w:rFonts w:asciiTheme="minorHAnsi" w:hAnsiTheme="minorHAnsi" w:cstheme="minorHAnsi"/>
                <w:b/>
                <w:bCs/>
                <w:color w:val="171717" w:themeColor="background2" w:themeShade="1A"/>
              </w:rPr>
              <w:t>Celoten javni razpis in razpisna dokumentacija</w:t>
            </w:r>
            <w:r w:rsidRPr="002B0255">
              <w:rPr>
                <w:rFonts w:asciiTheme="minorHAnsi" w:hAnsiTheme="minorHAnsi" w:cstheme="minorHAnsi"/>
                <w:bCs/>
                <w:color w:val="171717" w:themeColor="background2" w:themeShade="1A"/>
              </w:rPr>
              <w:t xml:space="preserve"> sta dostopna na spletni strani Razvojne agencije Sinergija: </w:t>
            </w:r>
            <w:hyperlink r:id="rId11" w:history="1">
              <w:r w:rsidRPr="002B0255">
                <w:rPr>
                  <w:rStyle w:val="Hiperpovezava"/>
                  <w:rFonts w:asciiTheme="minorHAnsi" w:hAnsiTheme="minorHAnsi" w:cstheme="minorHAnsi"/>
                  <w:b/>
                  <w:color w:val="171717" w:themeColor="background2" w:themeShade="1A"/>
                </w:rPr>
                <w:t>www.ra-sinergija.si/sl/rgs/</w:t>
              </w:r>
            </w:hyperlink>
            <w:r w:rsidRPr="002B0255">
              <w:rPr>
                <w:rStyle w:val="Hiperpovezava"/>
                <w:rFonts w:asciiTheme="minorHAnsi" w:hAnsiTheme="minorHAnsi" w:cstheme="minorHAnsi"/>
                <w:color w:val="171717" w:themeColor="background2" w:themeShade="1A"/>
                <w:u w:val="none"/>
              </w:rPr>
              <w:t xml:space="preserve"> .</w:t>
            </w:r>
          </w:p>
          <w:p w:rsidR="009216E5" w:rsidRPr="002B0255" w:rsidRDefault="009216E5" w:rsidP="008A6670">
            <w:pPr>
              <w:shd w:val="clear" w:color="auto" w:fill="FFE599" w:themeFill="accent4" w:themeFillTint="66"/>
              <w:spacing w:line="240" w:lineRule="auto"/>
              <w:rPr>
                <w:rFonts w:asciiTheme="minorHAnsi" w:hAnsiTheme="minorHAnsi" w:cstheme="minorHAnsi"/>
                <w:b/>
                <w:bCs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Za vse </w:t>
            </w:r>
            <w:r w:rsidRPr="002B0255">
              <w:rPr>
                <w:rFonts w:asciiTheme="minorHAnsi" w:hAnsiTheme="minorHAnsi" w:cstheme="minorHAnsi"/>
                <w:b/>
                <w:bCs/>
                <w:color w:val="171717" w:themeColor="background2" w:themeShade="1A"/>
              </w:rPr>
              <w:t>dodatne informacije:</w:t>
            </w:r>
          </w:p>
          <w:p w:rsidR="009216E5" w:rsidRPr="002B0255" w:rsidRDefault="009216E5" w:rsidP="008A6670">
            <w:pPr>
              <w:numPr>
                <w:ilvl w:val="0"/>
                <w:numId w:val="5"/>
              </w:numPr>
              <w:shd w:val="clear" w:color="auto" w:fill="FFE599" w:themeFill="accent4" w:themeFillTint="66"/>
              <w:spacing w:after="0" w:line="240" w:lineRule="auto"/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pišite na e-naslov: </w:t>
            </w:r>
            <w:hyperlink r:id="rId12" w:history="1">
              <w:r w:rsidRPr="002B0255">
                <w:rPr>
                  <w:rStyle w:val="Hiperpovezava"/>
                  <w:rFonts w:asciiTheme="minorHAnsi" w:hAnsiTheme="minorHAnsi" w:cstheme="minorHAnsi"/>
                  <w:b/>
                  <w:bCs/>
                  <w:color w:val="171717" w:themeColor="background2" w:themeShade="1A"/>
                </w:rPr>
                <w:t>rgs.pomurje@ra-sinergija.si</w:t>
              </w:r>
            </w:hyperlink>
            <w:r w:rsidRPr="002B0255">
              <w:rPr>
                <w:rFonts w:asciiTheme="minorHAnsi" w:hAnsiTheme="minorHAnsi" w:cstheme="minorHAnsi"/>
                <w:b/>
                <w:bCs/>
                <w:color w:val="171717" w:themeColor="background2" w:themeShade="1A"/>
              </w:rPr>
              <w:t xml:space="preserve"> </w:t>
            </w:r>
            <w:r w:rsidRPr="002B0255">
              <w:rPr>
                <w:rFonts w:asciiTheme="minorHAnsi" w:hAnsiTheme="minorHAnsi" w:cstheme="minorHAnsi"/>
                <w:bCs/>
                <w:color w:val="171717" w:themeColor="background2" w:themeShade="1A"/>
              </w:rPr>
              <w:t>,</w:t>
            </w:r>
          </w:p>
          <w:p w:rsidR="009216E5" w:rsidRPr="002B0255" w:rsidRDefault="009216E5" w:rsidP="008A6670">
            <w:pPr>
              <w:numPr>
                <w:ilvl w:val="0"/>
                <w:numId w:val="5"/>
              </w:numPr>
              <w:shd w:val="clear" w:color="auto" w:fill="FFE599" w:themeFill="accent4" w:themeFillTint="66"/>
              <w:spacing w:after="0" w:line="240" w:lineRule="auto"/>
              <w:ind w:right="0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pokličite na 02/ </w:t>
            </w:r>
            <w:r w:rsidRPr="002B0255">
              <w:rPr>
                <w:rFonts w:asciiTheme="minorHAnsi" w:hAnsiTheme="minorHAnsi" w:cstheme="minorHAnsi"/>
                <w:b/>
                <w:bCs/>
                <w:color w:val="171717" w:themeColor="background2" w:themeShade="1A"/>
              </w:rPr>
              <w:t>538 13 58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 (ga. Valerija Vogrinčič), ob delavnikih med 8.00 in 12.00 uro, </w:t>
            </w:r>
          </w:p>
          <w:p w:rsidR="00D130E2" w:rsidRPr="002B0255" w:rsidRDefault="009216E5" w:rsidP="00D130E2">
            <w:pPr>
              <w:numPr>
                <w:ilvl w:val="0"/>
                <w:numId w:val="5"/>
              </w:num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ind w:left="777" w:right="0" w:hanging="357"/>
              <w:rPr>
                <w:rFonts w:asciiTheme="minorHAnsi" w:hAnsiTheme="minorHAnsi" w:cstheme="minorHAnsi"/>
                <w:color w:val="171717" w:themeColor="background2" w:themeShade="1A"/>
              </w:rPr>
            </w:pP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ali 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se osebno zglasite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 xml:space="preserve"> </w:t>
            </w:r>
            <w:r w:rsidRPr="002B0255">
              <w:rPr>
                <w:rFonts w:asciiTheme="minorHAnsi" w:hAnsiTheme="minorHAnsi" w:cstheme="minorHAnsi"/>
                <w:b/>
                <w:color w:val="171717" w:themeColor="background2" w:themeShade="1A"/>
              </w:rPr>
              <w:t>v pisarnah Razvojne agencije Sinergija v Martjancih 36</w:t>
            </w:r>
            <w:r w:rsidRPr="002B0255">
              <w:rPr>
                <w:rFonts w:asciiTheme="minorHAnsi" w:hAnsiTheme="minorHAnsi" w:cstheme="minorHAnsi"/>
                <w:color w:val="171717" w:themeColor="background2" w:themeShade="1A"/>
              </w:rPr>
              <w:t>.</w:t>
            </w:r>
          </w:p>
          <w:p w:rsidR="00D130E2" w:rsidRPr="00D130E2" w:rsidRDefault="00D130E2" w:rsidP="00D130E2">
            <w:pPr>
              <w:shd w:val="clear" w:color="auto" w:fill="FFE599" w:themeFill="accent4" w:themeFillTint="66"/>
              <w:autoSpaceDE w:val="0"/>
              <w:autoSpaceDN w:val="0"/>
              <w:adjustRightInd w:val="0"/>
              <w:spacing w:after="0" w:line="240" w:lineRule="auto"/>
              <w:ind w:left="777" w:right="0" w:firstLine="0"/>
              <w:rPr>
                <w:rFonts w:asciiTheme="minorHAnsi" w:hAnsiTheme="minorHAnsi" w:cstheme="minorHAnsi"/>
                <w:color w:val="4E4327"/>
                <w:sz w:val="10"/>
                <w:szCs w:val="10"/>
              </w:rPr>
            </w:pPr>
          </w:p>
        </w:tc>
      </w:tr>
    </w:tbl>
    <w:p w:rsidR="00FE0CA6" w:rsidRPr="009216E5" w:rsidRDefault="00FE0CA6" w:rsidP="009216E5">
      <w:pPr>
        <w:shd w:val="clear" w:color="auto" w:fill="FFFFFF"/>
        <w:autoSpaceDE w:val="0"/>
        <w:autoSpaceDN w:val="0"/>
        <w:adjustRightInd w:val="0"/>
        <w:spacing w:after="100" w:line="240" w:lineRule="auto"/>
        <w:ind w:left="0" w:right="0" w:firstLine="0"/>
        <w:rPr>
          <w:rFonts w:asciiTheme="minorHAnsi" w:hAnsiTheme="minorHAnsi" w:cstheme="minorHAnsi"/>
          <w:color w:val="4E4327"/>
          <w:sz w:val="10"/>
          <w:szCs w:val="10"/>
        </w:rPr>
      </w:pPr>
    </w:p>
    <w:sectPr w:rsidR="00FE0CA6" w:rsidRPr="009216E5" w:rsidSect="00D130E2">
      <w:headerReference w:type="default" r:id="rId13"/>
      <w:footerReference w:type="default" r:id="rId14"/>
      <w:pgSz w:w="11906" w:h="16838"/>
      <w:pgMar w:top="567" w:right="1276" w:bottom="851" w:left="1276" w:header="56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31" w:rsidRDefault="00432531" w:rsidP="00F01106">
      <w:pPr>
        <w:spacing w:after="0" w:line="240" w:lineRule="auto"/>
      </w:pPr>
      <w:r>
        <w:separator/>
      </w:r>
    </w:p>
  </w:endnote>
  <w:endnote w:type="continuationSeparator" w:id="0">
    <w:p w:rsidR="00432531" w:rsidRDefault="00432531" w:rsidP="00F0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850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27A9" w:rsidRPr="003927A9" w:rsidRDefault="003927A9">
        <w:pPr>
          <w:pStyle w:val="Nog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16B6B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16B6B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16B6B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130E2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516B6B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516B6B">
          <w:rPr>
            <w:rFonts w:asciiTheme="minorHAnsi" w:hAnsiTheme="minorHAnsi" w:cstheme="minorHAnsi"/>
            <w:sz w:val="20"/>
            <w:szCs w:val="20"/>
          </w:rPr>
          <w:t>/</w:t>
        </w:r>
        <w:r w:rsidR="008F6DEF">
          <w:rPr>
            <w:rFonts w:asciiTheme="minorHAnsi" w:hAnsiTheme="minorHAnsi" w:cstheme="minorHAnsi"/>
            <w:sz w:val="20"/>
            <w:szCs w:val="20"/>
          </w:rPr>
          <w:t>2</w:t>
        </w:r>
      </w:p>
    </w:sdtContent>
  </w:sdt>
  <w:p w:rsidR="003927A9" w:rsidRDefault="003927A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31" w:rsidRDefault="00432531" w:rsidP="00F01106">
      <w:pPr>
        <w:spacing w:after="0" w:line="240" w:lineRule="auto"/>
      </w:pPr>
      <w:r>
        <w:separator/>
      </w:r>
    </w:p>
  </w:footnote>
  <w:footnote w:type="continuationSeparator" w:id="0">
    <w:p w:rsidR="00432531" w:rsidRDefault="00432531" w:rsidP="00F0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719" w:rsidRDefault="00346719">
    <w:pPr>
      <w:pStyle w:val="Glava"/>
    </w:pPr>
  </w:p>
  <w:p w:rsidR="00346719" w:rsidRPr="003569EB" w:rsidRDefault="00346719">
    <w:pPr>
      <w:pStyle w:val="Glava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BF2"/>
    <w:multiLevelType w:val="hybridMultilevel"/>
    <w:tmpl w:val="A29CD9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5FAC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1000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4F425703"/>
    <w:multiLevelType w:val="hybridMultilevel"/>
    <w:tmpl w:val="AE5C877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33BBD"/>
    <w:multiLevelType w:val="hybridMultilevel"/>
    <w:tmpl w:val="F6387900"/>
    <w:lvl w:ilvl="0" w:tplc="0424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7C22E09"/>
    <w:multiLevelType w:val="hybridMultilevel"/>
    <w:tmpl w:val="940299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 Kozina">
    <w15:presenceInfo w15:providerId="AD" w15:userId="S-1-5-21-869669425-252808105-1325765948-1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46"/>
    <w:rsid w:val="0001692C"/>
    <w:rsid w:val="00055B8E"/>
    <w:rsid w:val="00065D35"/>
    <w:rsid w:val="000A7188"/>
    <w:rsid w:val="000C0FA6"/>
    <w:rsid w:val="000F11CB"/>
    <w:rsid w:val="001436F3"/>
    <w:rsid w:val="00143E43"/>
    <w:rsid w:val="001703DA"/>
    <w:rsid w:val="0018519A"/>
    <w:rsid w:val="001878DB"/>
    <w:rsid w:val="001C0B5B"/>
    <w:rsid w:val="001C3BE1"/>
    <w:rsid w:val="001C5CEB"/>
    <w:rsid w:val="001E2B85"/>
    <w:rsid w:val="002023F7"/>
    <w:rsid w:val="00236DF7"/>
    <w:rsid w:val="00260F19"/>
    <w:rsid w:val="00263CFA"/>
    <w:rsid w:val="002B0255"/>
    <w:rsid w:val="002C5632"/>
    <w:rsid w:val="002E6DE2"/>
    <w:rsid w:val="002F1171"/>
    <w:rsid w:val="00303C89"/>
    <w:rsid w:val="00334E19"/>
    <w:rsid w:val="00342A96"/>
    <w:rsid w:val="00346719"/>
    <w:rsid w:val="00367761"/>
    <w:rsid w:val="003927A9"/>
    <w:rsid w:val="003975A2"/>
    <w:rsid w:val="003A2BF3"/>
    <w:rsid w:val="003E342F"/>
    <w:rsid w:val="003F1C6E"/>
    <w:rsid w:val="00400325"/>
    <w:rsid w:val="00407371"/>
    <w:rsid w:val="00431C3F"/>
    <w:rsid w:val="00432531"/>
    <w:rsid w:val="004523B6"/>
    <w:rsid w:val="0047732E"/>
    <w:rsid w:val="004A3871"/>
    <w:rsid w:val="004A440F"/>
    <w:rsid w:val="004C100E"/>
    <w:rsid w:val="004D2711"/>
    <w:rsid w:val="005075BE"/>
    <w:rsid w:val="00510444"/>
    <w:rsid w:val="005133AA"/>
    <w:rsid w:val="00516B6B"/>
    <w:rsid w:val="0053354D"/>
    <w:rsid w:val="00552D44"/>
    <w:rsid w:val="00573146"/>
    <w:rsid w:val="00584A1A"/>
    <w:rsid w:val="005E06C2"/>
    <w:rsid w:val="005F359E"/>
    <w:rsid w:val="0069446D"/>
    <w:rsid w:val="006A1A2C"/>
    <w:rsid w:val="006B6243"/>
    <w:rsid w:val="006C677B"/>
    <w:rsid w:val="006D6C10"/>
    <w:rsid w:val="006F5E80"/>
    <w:rsid w:val="007128F7"/>
    <w:rsid w:val="00715148"/>
    <w:rsid w:val="0074507B"/>
    <w:rsid w:val="00764275"/>
    <w:rsid w:val="00765AEA"/>
    <w:rsid w:val="00780651"/>
    <w:rsid w:val="00787862"/>
    <w:rsid w:val="007968F3"/>
    <w:rsid w:val="007D245E"/>
    <w:rsid w:val="0080386D"/>
    <w:rsid w:val="00822C90"/>
    <w:rsid w:val="008A6670"/>
    <w:rsid w:val="008B0477"/>
    <w:rsid w:val="008D0188"/>
    <w:rsid w:val="008F0C39"/>
    <w:rsid w:val="008F6DEF"/>
    <w:rsid w:val="008F7B03"/>
    <w:rsid w:val="009216E5"/>
    <w:rsid w:val="009420CA"/>
    <w:rsid w:val="0098142A"/>
    <w:rsid w:val="0098479C"/>
    <w:rsid w:val="009979F7"/>
    <w:rsid w:val="00A24E77"/>
    <w:rsid w:val="00A42111"/>
    <w:rsid w:val="00A55EBD"/>
    <w:rsid w:val="00A60DFA"/>
    <w:rsid w:val="00A71CE5"/>
    <w:rsid w:val="00A81D0D"/>
    <w:rsid w:val="00AA74B9"/>
    <w:rsid w:val="00AC14E0"/>
    <w:rsid w:val="00B017D8"/>
    <w:rsid w:val="00B55211"/>
    <w:rsid w:val="00B70AED"/>
    <w:rsid w:val="00B70E4C"/>
    <w:rsid w:val="00BA1ECB"/>
    <w:rsid w:val="00BD0A0F"/>
    <w:rsid w:val="00BD141B"/>
    <w:rsid w:val="00BD73BC"/>
    <w:rsid w:val="00C91E0B"/>
    <w:rsid w:val="00CC061A"/>
    <w:rsid w:val="00CE1D61"/>
    <w:rsid w:val="00CE1ECB"/>
    <w:rsid w:val="00D003DB"/>
    <w:rsid w:val="00D01574"/>
    <w:rsid w:val="00D101E0"/>
    <w:rsid w:val="00D130E2"/>
    <w:rsid w:val="00D1504D"/>
    <w:rsid w:val="00D66799"/>
    <w:rsid w:val="00D90362"/>
    <w:rsid w:val="00D910B7"/>
    <w:rsid w:val="00DA1B69"/>
    <w:rsid w:val="00DE22AE"/>
    <w:rsid w:val="00E01FC3"/>
    <w:rsid w:val="00E17F16"/>
    <w:rsid w:val="00E56AAC"/>
    <w:rsid w:val="00E86958"/>
    <w:rsid w:val="00E94BCC"/>
    <w:rsid w:val="00E94DC6"/>
    <w:rsid w:val="00EB297B"/>
    <w:rsid w:val="00ED0B29"/>
    <w:rsid w:val="00EF25E7"/>
    <w:rsid w:val="00F01106"/>
    <w:rsid w:val="00F0134D"/>
    <w:rsid w:val="00F44F34"/>
    <w:rsid w:val="00F5288D"/>
    <w:rsid w:val="00F667B7"/>
    <w:rsid w:val="00F74CDA"/>
    <w:rsid w:val="00FA3811"/>
    <w:rsid w:val="00FC717B"/>
    <w:rsid w:val="00FD03A7"/>
    <w:rsid w:val="00FE0CA6"/>
    <w:rsid w:val="00FE7A1D"/>
    <w:rsid w:val="00FF05AB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46"/>
    <w:pPr>
      <w:spacing w:after="4" w:line="248" w:lineRule="auto"/>
      <w:ind w:left="10" w:right="139" w:hanging="10"/>
      <w:jc w:val="both"/>
    </w:pPr>
    <w:rPr>
      <w:rFonts w:ascii="Tahoma" w:eastAsia="Tahoma" w:hAnsi="Tahoma" w:cs="Tahoma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573146"/>
    <w:pPr>
      <w:keepNext/>
      <w:keepLines/>
      <w:numPr>
        <w:numId w:val="1"/>
      </w:numPr>
      <w:spacing w:after="0"/>
      <w:ind w:right="141"/>
      <w:outlineLvl w:val="0"/>
    </w:pPr>
    <w:rPr>
      <w:rFonts w:ascii="Tahoma" w:eastAsia="Tahoma" w:hAnsi="Tahoma" w:cs="Tahoma"/>
      <w:b/>
      <w:color w:val="000000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573146"/>
    <w:pPr>
      <w:keepNext/>
      <w:keepLines/>
      <w:numPr>
        <w:ilvl w:val="1"/>
        <w:numId w:val="1"/>
      </w:numPr>
      <w:spacing w:after="10" w:line="249" w:lineRule="auto"/>
      <w:outlineLvl w:val="1"/>
    </w:pPr>
    <w:rPr>
      <w:rFonts w:ascii="Tahoma" w:eastAsia="Tahoma" w:hAnsi="Tahoma" w:cs="Tahoma"/>
      <w:b/>
      <w:color w:val="000000"/>
      <w:lang w:eastAsia="sl-SI"/>
    </w:rPr>
  </w:style>
  <w:style w:type="paragraph" w:styleId="Naslov3">
    <w:name w:val="heading 3"/>
    <w:next w:val="Navaden"/>
    <w:link w:val="Naslov3Znak"/>
    <w:uiPriority w:val="9"/>
    <w:unhideWhenUsed/>
    <w:qFormat/>
    <w:rsid w:val="00573146"/>
    <w:pPr>
      <w:keepNext/>
      <w:keepLines/>
      <w:numPr>
        <w:ilvl w:val="2"/>
        <w:numId w:val="1"/>
      </w:numPr>
      <w:spacing w:after="10" w:line="249" w:lineRule="auto"/>
      <w:outlineLvl w:val="2"/>
    </w:pPr>
    <w:rPr>
      <w:rFonts w:ascii="Tahoma" w:eastAsia="Tahoma" w:hAnsi="Tahoma" w:cs="Tahoma"/>
      <w:b/>
      <w:color w:val="000000"/>
      <w:sz w:val="20"/>
      <w:lang w:eastAsia="sl-SI"/>
    </w:rPr>
  </w:style>
  <w:style w:type="paragraph" w:styleId="Naslov4">
    <w:name w:val="heading 4"/>
    <w:next w:val="Navaden"/>
    <w:link w:val="Naslov4Znak"/>
    <w:uiPriority w:val="9"/>
    <w:unhideWhenUsed/>
    <w:qFormat/>
    <w:rsid w:val="00573146"/>
    <w:pPr>
      <w:keepNext/>
      <w:keepLines/>
      <w:numPr>
        <w:ilvl w:val="3"/>
        <w:numId w:val="1"/>
      </w:numPr>
      <w:spacing w:after="10" w:line="249" w:lineRule="auto"/>
      <w:outlineLvl w:val="3"/>
    </w:pPr>
    <w:rPr>
      <w:rFonts w:ascii="Tahoma" w:eastAsia="Tahoma" w:hAnsi="Tahoma" w:cs="Tahoma"/>
      <w:b/>
      <w:color w:val="000000"/>
      <w:sz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7314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7314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7314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314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314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73146"/>
    <w:rPr>
      <w:rFonts w:ascii="Tahoma" w:eastAsia="Tahoma" w:hAnsi="Tahoma" w:cs="Tahoma"/>
      <w:b/>
      <w:color w:val="00000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73146"/>
    <w:rPr>
      <w:rFonts w:ascii="Tahoma" w:eastAsia="Tahoma" w:hAnsi="Tahoma" w:cs="Tahoma"/>
      <w:b/>
      <w:color w:val="00000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73146"/>
    <w:rPr>
      <w:rFonts w:ascii="Tahoma" w:eastAsia="Tahoma" w:hAnsi="Tahoma" w:cs="Tahoma"/>
      <w:b/>
      <w:color w:val="000000"/>
      <w:sz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573146"/>
    <w:rPr>
      <w:rFonts w:ascii="Tahoma" w:eastAsia="Tahoma" w:hAnsi="Tahoma" w:cs="Tahoma"/>
      <w:b/>
      <w:color w:val="000000"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73146"/>
    <w:rPr>
      <w:rFonts w:asciiTheme="majorHAnsi" w:eastAsiaTheme="majorEastAsia" w:hAnsiTheme="majorHAnsi" w:cstheme="majorBidi"/>
      <w:color w:val="2E74B5" w:themeColor="accent1" w:themeShade="BF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73146"/>
    <w:rPr>
      <w:rFonts w:asciiTheme="majorHAnsi" w:eastAsiaTheme="majorEastAsia" w:hAnsiTheme="majorHAnsi" w:cstheme="majorBidi"/>
      <w:color w:val="1F4D78" w:themeColor="accent1" w:themeShade="7F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73146"/>
    <w:rPr>
      <w:rFonts w:asciiTheme="majorHAnsi" w:eastAsiaTheme="majorEastAsia" w:hAnsiTheme="majorHAnsi" w:cstheme="majorBidi"/>
      <w:i/>
      <w:iCs/>
      <w:color w:val="1F4D78" w:themeColor="accent1" w:themeShade="7F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31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31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146"/>
    <w:rPr>
      <w:rFonts w:ascii="Tahoma" w:eastAsia="Tahoma" w:hAnsi="Tahoma" w:cs="Tahoma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146"/>
    <w:rPr>
      <w:rFonts w:ascii="Tahoma" w:eastAsia="Tahoma" w:hAnsi="Tahoma" w:cs="Tahoma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57314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7314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73146"/>
    <w:pPr>
      <w:spacing w:after="0" w:line="240" w:lineRule="auto"/>
      <w:ind w:left="10" w:right="139" w:hanging="10"/>
      <w:jc w:val="both"/>
    </w:pPr>
    <w:rPr>
      <w:rFonts w:ascii="Tahoma" w:eastAsia="Tahoma" w:hAnsi="Tahoma" w:cs="Tahoma"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A7"/>
    <w:pPr>
      <w:spacing w:after="0"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A7"/>
    <w:rPr>
      <w:rFonts w:ascii="Tahoma" w:eastAsia="Tahoma" w:hAnsi="Tahoma" w:cs="Tahoma"/>
      <w:color w:val="000000"/>
      <w:sz w:val="16"/>
      <w:szCs w:val="16"/>
      <w:lang w:eastAsia="sl-SI"/>
    </w:rPr>
  </w:style>
  <w:style w:type="paragraph" w:customStyle="1" w:styleId="Default">
    <w:name w:val="Default"/>
    <w:rsid w:val="00055B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9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878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repko">
    <w:name w:val="Strong"/>
    <w:basedOn w:val="Privzetapisavaodstavka"/>
    <w:uiPriority w:val="22"/>
    <w:qFormat/>
    <w:rsid w:val="001878DB"/>
    <w:rPr>
      <w:b/>
      <w:bCs/>
    </w:rPr>
  </w:style>
  <w:style w:type="character" w:styleId="Naslovknjige">
    <w:name w:val="Book Title"/>
    <w:uiPriority w:val="33"/>
    <w:qFormat/>
    <w:rsid w:val="008F0C39"/>
    <w:rPr>
      <w:b/>
      <w:bCs/>
      <w:i/>
      <w:iCs/>
      <w:spacing w:val="5"/>
    </w:rPr>
  </w:style>
  <w:style w:type="character" w:styleId="Neensklic">
    <w:name w:val="Subtle Reference"/>
    <w:uiPriority w:val="31"/>
    <w:qFormat/>
    <w:rsid w:val="00D90362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46"/>
    <w:pPr>
      <w:spacing w:after="4" w:line="248" w:lineRule="auto"/>
      <w:ind w:left="10" w:right="139" w:hanging="10"/>
      <w:jc w:val="both"/>
    </w:pPr>
    <w:rPr>
      <w:rFonts w:ascii="Tahoma" w:eastAsia="Tahoma" w:hAnsi="Tahoma" w:cs="Tahoma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unhideWhenUsed/>
    <w:qFormat/>
    <w:rsid w:val="00573146"/>
    <w:pPr>
      <w:keepNext/>
      <w:keepLines/>
      <w:numPr>
        <w:numId w:val="1"/>
      </w:numPr>
      <w:spacing w:after="0"/>
      <w:ind w:right="141"/>
      <w:outlineLvl w:val="0"/>
    </w:pPr>
    <w:rPr>
      <w:rFonts w:ascii="Tahoma" w:eastAsia="Tahoma" w:hAnsi="Tahoma" w:cs="Tahoma"/>
      <w:b/>
      <w:color w:val="000000"/>
      <w:lang w:eastAsia="sl-SI"/>
    </w:rPr>
  </w:style>
  <w:style w:type="paragraph" w:styleId="Naslov2">
    <w:name w:val="heading 2"/>
    <w:next w:val="Navaden"/>
    <w:link w:val="Naslov2Znak"/>
    <w:uiPriority w:val="9"/>
    <w:unhideWhenUsed/>
    <w:qFormat/>
    <w:rsid w:val="00573146"/>
    <w:pPr>
      <w:keepNext/>
      <w:keepLines/>
      <w:numPr>
        <w:ilvl w:val="1"/>
        <w:numId w:val="1"/>
      </w:numPr>
      <w:spacing w:after="10" w:line="249" w:lineRule="auto"/>
      <w:outlineLvl w:val="1"/>
    </w:pPr>
    <w:rPr>
      <w:rFonts w:ascii="Tahoma" w:eastAsia="Tahoma" w:hAnsi="Tahoma" w:cs="Tahoma"/>
      <w:b/>
      <w:color w:val="000000"/>
      <w:lang w:eastAsia="sl-SI"/>
    </w:rPr>
  </w:style>
  <w:style w:type="paragraph" w:styleId="Naslov3">
    <w:name w:val="heading 3"/>
    <w:next w:val="Navaden"/>
    <w:link w:val="Naslov3Znak"/>
    <w:uiPriority w:val="9"/>
    <w:unhideWhenUsed/>
    <w:qFormat/>
    <w:rsid w:val="00573146"/>
    <w:pPr>
      <w:keepNext/>
      <w:keepLines/>
      <w:numPr>
        <w:ilvl w:val="2"/>
        <w:numId w:val="1"/>
      </w:numPr>
      <w:spacing w:after="10" w:line="249" w:lineRule="auto"/>
      <w:outlineLvl w:val="2"/>
    </w:pPr>
    <w:rPr>
      <w:rFonts w:ascii="Tahoma" w:eastAsia="Tahoma" w:hAnsi="Tahoma" w:cs="Tahoma"/>
      <w:b/>
      <w:color w:val="000000"/>
      <w:sz w:val="20"/>
      <w:lang w:eastAsia="sl-SI"/>
    </w:rPr>
  </w:style>
  <w:style w:type="paragraph" w:styleId="Naslov4">
    <w:name w:val="heading 4"/>
    <w:next w:val="Navaden"/>
    <w:link w:val="Naslov4Znak"/>
    <w:uiPriority w:val="9"/>
    <w:unhideWhenUsed/>
    <w:qFormat/>
    <w:rsid w:val="00573146"/>
    <w:pPr>
      <w:keepNext/>
      <w:keepLines/>
      <w:numPr>
        <w:ilvl w:val="3"/>
        <w:numId w:val="1"/>
      </w:numPr>
      <w:spacing w:after="10" w:line="249" w:lineRule="auto"/>
      <w:outlineLvl w:val="3"/>
    </w:pPr>
    <w:rPr>
      <w:rFonts w:ascii="Tahoma" w:eastAsia="Tahoma" w:hAnsi="Tahoma" w:cs="Tahoma"/>
      <w:b/>
      <w:color w:val="000000"/>
      <w:sz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7314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7314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7314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7314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7314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73146"/>
    <w:rPr>
      <w:rFonts w:ascii="Tahoma" w:eastAsia="Tahoma" w:hAnsi="Tahoma" w:cs="Tahoma"/>
      <w:b/>
      <w:color w:val="00000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73146"/>
    <w:rPr>
      <w:rFonts w:ascii="Tahoma" w:eastAsia="Tahoma" w:hAnsi="Tahoma" w:cs="Tahoma"/>
      <w:b/>
      <w:color w:val="00000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73146"/>
    <w:rPr>
      <w:rFonts w:ascii="Tahoma" w:eastAsia="Tahoma" w:hAnsi="Tahoma" w:cs="Tahoma"/>
      <w:b/>
      <w:color w:val="000000"/>
      <w:sz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573146"/>
    <w:rPr>
      <w:rFonts w:ascii="Tahoma" w:eastAsia="Tahoma" w:hAnsi="Tahoma" w:cs="Tahoma"/>
      <w:b/>
      <w:color w:val="000000"/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73146"/>
    <w:rPr>
      <w:rFonts w:asciiTheme="majorHAnsi" w:eastAsiaTheme="majorEastAsia" w:hAnsiTheme="majorHAnsi" w:cstheme="majorBidi"/>
      <w:color w:val="2E74B5" w:themeColor="accent1" w:themeShade="BF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73146"/>
    <w:rPr>
      <w:rFonts w:asciiTheme="majorHAnsi" w:eastAsiaTheme="majorEastAsia" w:hAnsiTheme="majorHAnsi" w:cstheme="majorBidi"/>
      <w:color w:val="1F4D78" w:themeColor="accent1" w:themeShade="7F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73146"/>
    <w:rPr>
      <w:rFonts w:asciiTheme="majorHAnsi" w:eastAsiaTheme="majorEastAsia" w:hAnsiTheme="majorHAnsi" w:cstheme="majorBidi"/>
      <w:i/>
      <w:iCs/>
      <w:color w:val="1F4D78" w:themeColor="accent1" w:themeShade="7F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7314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731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3146"/>
    <w:rPr>
      <w:rFonts w:ascii="Tahoma" w:eastAsia="Tahoma" w:hAnsi="Tahoma" w:cs="Tahoma"/>
      <w:color w:val="00000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73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3146"/>
    <w:rPr>
      <w:rFonts w:ascii="Tahoma" w:eastAsia="Tahoma" w:hAnsi="Tahoma" w:cs="Tahoma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57314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7314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73146"/>
    <w:pPr>
      <w:spacing w:after="0" w:line="240" w:lineRule="auto"/>
      <w:ind w:left="10" w:right="139" w:hanging="10"/>
      <w:jc w:val="both"/>
    </w:pPr>
    <w:rPr>
      <w:rFonts w:ascii="Tahoma" w:eastAsia="Tahoma" w:hAnsi="Tahoma" w:cs="Tahoma"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A7"/>
    <w:pPr>
      <w:spacing w:after="0" w:line="240" w:lineRule="auto"/>
    </w:pPr>
    <w:rPr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A7"/>
    <w:rPr>
      <w:rFonts w:ascii="Tahoma" w:eastAsia="Tahoma" w:hAnsi="Tahoma" w:cs="Tahoma"/>
      <w:color w:val="000000"/>
      <w:sz w:val="16"/>
      <w:szCs w:val="16"/>
      <w:lang w:eastAsia="sl-SI"/>
    </w:rPr>
  </w:style>
  <w:style w:type="paragraph" w:customStyle="1" w:styleId="Default">
    <w:name w:val="Default"/>
    <w:rsid w:val="00055B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9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1878D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repko">
    <w:name w:val="Strong"/>
    <w:basedOn w:val="Privzetapisavaodstavka"/>
    <w:uiPriority w:val="22"/>
    <w:qFormat/>
    <w:rsid w:val="001878DB"/>
    <w:rPr>
      <w:b/>
      <w:bCs/>
    </w:rPr>
  </w:style>
  <w:style w:type="character" w:styleId="Naslovknjige">
    <w:name w:val="Book Title"/>
    <w:uiPriority w:val="33"/>
    <w:qFormat/>
    <w:rsid w:val="008F0C39"/>
    <w:rPr>
      <w:b/>
      <w:bCs/>
      <w:i/>
      <w:iCs/>
      <w:spacing w:val="5"/>
    </w:rPr>
  </w:style>
  <w:style w:type="character" w:styleId="Neensklic">
    <w:name w:val="Subtle Reference"/>
    <w:uiPriority w:val="31"/>
    <w:qFormat/>
    <w:rsid w:val="00D90362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47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rgs.pomurje@ra-sinergij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-sinergija.si/sl/rg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3995-BA9A-4D5F-9FDF-F7633121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Kozina</dc:creator>
  <cp:lastModifiedBy>srakas</cp:lastModifiedBy>
  <cp:revision>12</cp:revision>
  <cp:lastPrinted>2017-11-16T12:29:00Z</cp:lastPrinted>
  <dcterms:created xsi:type="dcterms:W3CDTF">2017-11-16T11:21:00Z</dcterms:created>
  <dcterms:modified xsi:type="dcterms:W3CDTF">2017-11-16T12:44:00Z</dcterms:modified>
</cp:coreProperties>
</file>