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48" w:rsidRPr="00740621" w:rsidRDefault="00752348" w:rsidP="00740621">
      <w:pPr>
        <w:jc w:val="center"/>
        <w:rPr>
          <w:b/>
          <w:bCs/>
        </w:rPr>
      </w:pPr>
      <w:r w:rsidRPr="00740621">
        <w:rPr>
          <w:b/>
          <w:bCs/>
        </w:rPr>
        <w:t>Društvo Ajda Koroška v sodelovanju z Mednarodnim centrom za ekoremediacije</w:t>
      </w:r>
      <w:r>
        <w:rPr>
          <w:b/>
          <w:bCs/>
        </w:rPr>
        <w:t xml:space="preserve"> FF, UM </w:t>
      </w:r>
    </w:p>
    <w:p w:rsidR="00752348" w:rsidRPr="00740621" w:rsidRDefault="00752348" w:rsidP="00740621">
      <w:pPr>
        <w:jc w:val="center"/>
        <w:rPr>
          <w:b/>
          <w:bCs/>
        </w:rPr>
      </w:pPr>
      <w:r w:rsidRPr="00740621">
        <w:rPr>
          <w:b/>
          <w:bCs/>
        </w:rPr>
        <w:t>ddr. Ana Vovk Korže, dr. Matjaž Turinek</w:t>
      </w:r>
      <w:r>
        <w:rPr>
          <w:b/>
          <w:bCs/>
        </w:rPr>
        <w:t xml:space="preserve"> in Miha Ločičnik</w:t>
      </w:r>
    </w:p>
    <w:p w:rsidR="00752348" w:rsidRDefault="00752348" w:rsidP="00BF3A50">
      <w:pPr>
        <w:jc w:val="center"/>
        <w:rPr>
          <w:b/>
          <w:bCs/>
          <w:sz w:val="40"/>
          <w:szCs w:val="40"/>
        </w:rPr>
      </w:pPr>
    </w:p>
    <w:p w:rsidR="00752348" w:rsidRPr="00BF3A50" w:rsidRDefault="00752348" w:rsidP="00BF3A50">
      <w:pPr>
        <w:jc w:val="center"/>
        <w:rPr>
          <w:b/>
          <w:bCs/>
          <w:sz w:val="40"/>
          <w:szCs w:val="40"/>
        </w:rPr>
      </w:pPr>
      <w:r w:rsidRPr="00BF3A50">
        <w:rPr>
          <w:b/>
          <w:bCs/>
          <w:sz w:val="40"/>
          <w:szCs w:val="40"/>
        </w:rPr>
        <w:t>UČNA REGIJA MEŽIŠKA DOLINA – REVITALIZACIJA TAL Z BIODINAMIKO</w:t>
      </w:r>
    </w:p>
    <w:p w:rsidR="00752348" w:rsidRDefault="00752348">
      <w:pPr>
        <w:rPr>
          <w:b/>
          <w:bCs/>
        </w:rPr>
      </w:pPr>
      <w:r>
        <w:rPr>
          <w:b/>
          <w:bCs/>
        </w:rPr>
        <w:t xml:space="preserve">Izhodišče projektnega predloga: </w:t>
      </w:r>
    </w:p>
    <w:p w:rsidR="00752348" w:rsidRDefault="00752348">
      <w:r>
        <w:t xml:space="preserve">Mežiška dolina je prepoznana v Sloveniji in širše po velikih okoljskih obremenitvah iz preteklosti. Narava je delno z lastno regeneracijo odpravila posledice kopanja svinca in cinka, v prsteh pa je ostalo še precej težkih kovin, ki jih ni mogoče enostavno sanirati. Zaradi potrebe razvoja po trajnostnem pristopu bi lahko z biodinamiko, kjer je v ospredju vzpobujanje življenja in aktivnosti tal ter je poudarek na razumevanju, vzpodbujanju in oblikovanju kompleksnih naravno-kulturnih sistemov, vsaj delno revitalizirali Mežiško dolino in sicer območje štirih občin: Ravne, Prevalje, Mežica in Črna. Cilj revitalizacije je predvsem odpreti Mežiško dolino učnemu turizmu in izobraževanju o možnostih uporabe biodinamike na nivoju posameznika in lokalne skupnosti. V Sloveniji se pristopi biodinamike širijo, pripadnost ljudi k temu načinu pridelovanja hrane je visok, veliko ljudi pa si želi pridobiti tovrstna znanja. Zato bi bila Mežiška dolina na nivoju Slovenije in širše učna regija o uporabi biodinamike s ciljem revitalizacije prsti v Mežiški dolini. Tovrstna revitalizacija pa bi bila tudi podlaga za družbeno revitalizacijo in nove dejavnosti na podeželju ter nove storitve funkcije kot posledica vzpostavitve učne regije Mežiške doline. </w:t>
      </w:r>
    </w:p>
    <w:p w:rsidR="00752348" w:rsidRDefault="00752348"/>
    <w:p w:rsidR="00752348" w:rsidRPr="002317C9" w:rsidRDefault="00752348" w:rsidP="00847513">
      <w:pPr>
        <w:rPr>
          <w:b/>
          <w:bCs/>
        </w:rPr>
      </w:pPr>
      <w:r w:rsidRPr="002317C9">
        <w:rPr>
          <w:b/>
          <w:bCs/>
        </w:rPr>
        <w:t xml:space="preserve">Aktivnosti v projektu </w:t>
      </w:r>
    </w:p>
    <w:p w:rsidR="00752348" w:rsidRPr="00847513" w:rsidRDefault="00752348" w:rsidP="00847513">
      <w:pPr>
        <w:pStyle w:val="ListParagraph"/>
        <w:numPr>
          <w:ilvl w:val="0"/>
          <w:numId w:val="1"/>
        </w:numPr>
        <w:spacing w:before="100" w:beforeAutospacing="1" w:after="100" w:afterAutospacing="1"/>
        <w:jc w:val="both"/>
      </w:pPr>
      <w:r w:rsidRPr="00847513">
        <w:rPr>
          <w:b/>
          <w:bCs/>
          <w:u w:val="single"/>
        </w:rPr>
        <w:t>Poročilo o stanju okolja in občinski program varstva okolja</w:t>
      </w:r>
      <w:r>
        <w:rPr>
          <w:b/>
          <w:bCs/>
          <w:u w:val="single"/>
        </w:rPr>
        <w:t xml:space="preserve"> (OPVO)</w:t>
      </w:r>
      <w:r w:rsidRPr="00847513">
        <w:rPr>
          <w:b/>
          <w:bCs/>
          <w:u w:val="single"/>
        </w:rPr>
        <w:t>:</w:t>
      </w:r>
      <w:r>
        <w:t xml:space="preserve"> </w:t>
      </w:r>
    </w:p>
    <w:p w:rsidR="00752348" w:rsidRPr="00847513" w:rsidRDefault="00752348" w:rsidP="00847513">
      <w:pPr>
        <w:spacing w:before="100" w:beforeAutospacing="1" w:after="100" w:afterAutospacing="1"/>
        <w:jc w:val="both"/>
      </w:pPr>
      <w:r>
        <w:t xml:space="preserve">V tem poročilu se zberejo aktualni podatki o stanju okolja ter se v sodelovanju z občinami pripravi skupni občinski program varstva okolja, ki bi v razvojne vizije občin vgradil biodinamiko kot prednostni način pridelovanja hrane povsod tam, kjer je to možno. </w:t>
      </w:r>
      <w:r w:rsidRPr="00847513">
        <w:t xml:space="preserve">Osnovni cilj OPVO je  izdelava celovitega dokumenta programa varstva okolja, ki na enem mestu obravnava kot krovni dokument vsa tematska področja, ki vplivajo na stanje okolja in sicer: gospodarjenje z odpadki, gospodarjenje s pitno in odpadnimi vodami, varstvo zraka, varovanje zelenega sistema in ohranjanje biotske raznovrstnosti, varstvo pred hrupom in sevanji, nadgrajevanje informacijskega sistema varstva okolja ter tudi strateške usmeritve za dejavnosti, ki vplivajo na stanje okolja in narave in sicer kmetijstvo, industrija, promet, energetika, turizem in kot krovni tematski sklop je opredeljen vpliv okolja na zdravje. </w:t>
      </w:r>
    </w:p>
    <w:p w:rsidR="00752348" w:rsidRPr="00414FAA" w:rsidRDefault="00752348" w:rsidP="00847513">
      <w:pPr>
        <w:jc w:val="both"/>
      </w:pPr>
      <w:r w:rsidRPr="00414FAA">
        <w:t>Cilji OPVO so:</w:t>
      </w:r>
    </w:p>
    <w:p w:rsidR="00752348" w:rsidRPr="00414FAA" w:rsidRDefault="00752348" w:rsidP="00847513">
      <w:pPr>
        <w:numPr>
          <w:ilvl w:val="0"/>
          <w:numId w:val="2"/>
        </w:numPr>
        <w:spacing w:after="0" w:line="240" w:lineRule="auto"/>
        <w:jc w:val="both"/>
      </w:pPr>
      <w:r w:rsidRPr="00414FAA">
        <w:t>analiza okoljskih problemov, določitev ciljev, opredelitev strategij za doseganje ciljev</w:t>
      </w:r>
    </w:p>
    <w:p w:rsidR="00752348" w:rsidRPr="00414FAA" w:rsidRDefault="00752348" w:rsidP="00847513">
      <w:pPr>
        <w:numPr>
          <w:ilvl w:val="0"/>
          <w:numId w:val="2"/>
        </w:numPr>
        <w:spacing w:after="0" w:line="240" w:lineRule="auto"/>
        <w:jc w:val="both"/>
      </w:pPr>
      <w:r w:rsidRPr="00414FAA">
        <w:t>opredelitev merljivih indikatorjev za spremljanje in vrednotenje izvajanja dokumenta in operativnih programov za doseganje dolgoročnih ciljev</w:t>
      </w:r>
    </w:p>
    <w:p w:rsidR="00752348" w:rsidRPr="00414FAA" w:rsidRDefault="00752348" w:rsidP="00847513">
      <w:pPr>
        <w:numPr>
          <w:ilvl w:val="0"/>
          <w:numId w:val="2"/>
        </w:numPr>
        <w:spacing w:after="0" w:line="240" w:lineRule="auto"/>
        <w:jc w:val="both"/>
      </w:pPr>
      <w:r w:rsidRPr="00414FAA">
        <w:t>opredelitev nosilcev in drugih akterjev za izvajanje strategij in doseganje ciljev;</w:t>
      </w:r>
    </w:p>
    <w:p w:rsidR="00752348" w:rsidRPr="00414FAA" w:rsidRDefault="00752348" w:rsidP="00847513">
      <w:pPr>
        <w:numPr>
          <w:ilvl w:val="0"/>
          <w:numId w:val="2"/>
        </w:numPr>
        <w:spacing w:after="0" w:line="240" w:lineRule="auto"/>
        <w:jc w:val="both"/>
      </w:pPr>
      <w:r w:rsidRPr="00414FAA">
        <w:t>izboljšano sodelovanje med ključnimi akterji in zainteresirano javnostjo na področju varstva,</w:t>
      </w:r>
    </w:p>
    <w:p w:rsidR="00752348" w:rsidRPr="00414FAA" w:rsidRDefault="00752348" w:rsidP="00847513">
      <w:pPr>
        <w:numPr>
          <w:ilvl w:val="0"/>
          <w:numId w:val="2"/>
        </w:numPr>
        <w:spacing w:after="0" w:line="240" w:lineRule="auto"/>
        <w:jc w:val="both"/>
      </w:pPr>
      <w:r w:rsidRPr="00414FAA">
        <w:t>aktivnejša širša javnost, usmerjena v varovanje okolja .</w:t>
      </w:r>
    </w:p>
    <w:p w:rsidR="00752348" w:rsidRDefault="00752348" w:rsidP="00847513">
      <w:pPr>
        <w:spacing w:before="100" w:beforeAutospacing="1" w:after="100" w:afterAutospacing="1"/>
        <w:jc w:val="both"/>
      </w:pPr>
      <w:r w:rsidRPr="00414FAA">
        <w:t>Cilj</w:t>
      </w:r>
      <w:r>
        <w:t>i</w:t>
      </w:r>
      <w:r w:rsidRPr="00414FAA">
        <w:t xml:space="preserve"> dokumenta </w:t>
      </w:r>
      <w:r>
        <w:t xml:space="preserve">so  usmerjeni </w:t>
      </w:r>
      <w:r w:rsidRPr="00414FAA">
        <w:t xml:space="preserve">k postopnemu izboljšanju stanja okolja in ohranjanja narave na območju občine </w:t>
      </w:r>
      <w:r>
        <w:t xml:space="preserve">s </w:t>
      </w:r>
      <w:r w:rsidRPr="00414FAA">
        <w:t xml:space="preserve"> posebnim poudarkom na uveljaviti okolja kot omejitvenega in hkrati spodbujevalnega dejavnika razvoja ter postopnemu uveljavljanju načel trajnostnega razvoja. Eden izmed pomembnih ciljev je tudi priprava in izvajanje dokumenta po najširši demokratični poti, se pravi z vključevanjem, informiranjem in osveščanjem strokovnih in zainteresiranih javnosti ter nevladnih organizacij. </w:t>
      </w:r>
    </w:p>
    <w:p w:rsidR="00752348" w:rsidRPr="00414FAA" w:rsidRDefault="00752348" w:rsidP="00847513">
      <w:pPr>
        <w:spacing w:before="100" w:beforeAutospacing="1" w:after="100" w:afterAutospacing="1"/>
        <w:jc w:val="both"/>
      </w:pPr>
      <w:r>
        <w:t xml:space="preserve">OPVO vključuje </w:t>
      </w:r>
      <w:r w:rsidRPr="00414FAA">
        <w:t>obvez</w:t>
      </w:r>
      <w:r>
        <w:t>e</w:t>
      </w:r>
      <w:r w:rsidRPr="00414FAA">
        <w:t xml:space="preserve"> Zakona o varstvu okolja, Nacionalnega programa varstva okolja (Ur. l. RS, št. 83/99) ter Aalborške listine o trajnostnem razvoju mest – Aalborg Charter of European Cities and Towns Towards Sustainability, Aalborg 1994 ter veljavnih državni</w:t>
      </w:r>
      <w:r>
        <w:t>h</w:t>
      </w:r>
      <w:r w:rsidRPr="00414FAA">
        <w:t xml:space="preserve"> in lokalnih okoljskih predpisov in pogodb.</w:t>
      </w:r>
    </w:p>
    <w:p w:rsidR="00752348" w:rsidRPr="00414FAA" w:rsidRDefault="00752348" w:rsidP="00847513">
      <w:r w:rsidRPr="00414FAA">
        <w:t>Izhodišča za pripravo OPVO so:</w:t>
      </w:r>
    </w:p>
    <w:p w:rsidR="00752348" w:rsidRDefault="00752348" w:rsidP="00847513">
      <w:pPr>
        <w:numPr>
          <w:ilvl w:val="0"/>
          <w:numId w:val="5"/>
        </w:numPr>
        <w:spacing w:after="0" w:line="240" w:lineRule="auto"/>
      </w:pPr>
      <w:r>
        <w:t xml:space="preserve">Poročilo o stanju okolja (se pripravi na podlagi zbranih podatkov o naravnih virih ter dejavnostih) </w:t>
      </w:r>
    </w:p>
    <w:p w:rsidR="00752348" w:rsidRDefault="00752348" w:rsidP="00847513">
      <w:pPr>
        <w:numPr>
          <w:ilvl w:val="0"/>
          <w:numId w:val="5"/>
        </w:numPr>
        <w:spacing w:after="0" w:line="240" w:lineRule="auto"/>
      </w:pPr>
      <w:r>
        <w:t>Delavnice z lokalnim prebivalstvom in razvojnimi akterji občine</w:t>
      </w:r>
    </w:p>
    <w:p w:rsidR="00752348" w:rsidRDefault="00752348" w:rsidP="00847513">
      <w:pPr>
        <w:numPr>
          <w:ilvl w:val="0"/>
          <w:numId w:val="5"/>
        </w:numPr>
        <w:spacing w:after="0" w:line="240" w:lineRule="auto"/>
      </w:pPr>
      <w:r>
        <w:t xml:space="preserve">Nabor ciljev za dosego dobrega stanja okolja </w:t>
      </w:r>
    </w:p>
    <w:p w:rsidR="00752348" w:rsidRDefault="00752348" w:rsidP="00847513">
      <w:pPr>
        <w:numPr>
          <w:ilvl w:val="0"/>
          <w:numId w:val="5"/>
        </w:numPr>
        <w:spacing w:after="0" w:line="240" w:lineRule="auto"/>
      </w:pPr>
      <w:r w:rsidRPr="00B34007">
        <w:t xml:space="preserve">Nabor ukrepov, ki jih je treba izvesti za dosego ciljev ter opredelitev časovnih in finančnih obveznosti </w:t>
      </w:r>
    </w:p>
    <w:p w:rsidR="00752348" w:rsidRPr="00B34007" w:rsidRDefault="00752348" w:rsidP="00847513">
      <w:pPr>
        <w:numPr>
          <w:ilvl w:val="0"/>
          <w:numId w:val="5"/>
        </w:numPr>
        <w:spacing w:after="0" w:line="240" w:lineRule="auto"/>
      </w:pPr>
      <w:r w:rsidRPr="00B34007">
        <w:t>Kazalci za merjenje uspešnosti izvajanja OPVO (podlaga za evalvacijo OPVO).</w:t>
      </w:r>
    </w:p>
    <w:p w:rsidR="00752348" w:rsidRPr="00414FAA" w:rsidRDefault="00752348" w:rsidP="00847513">
      <w:r w:rsidRPr="00E105E5">
        <w:rPr>
          <w:rFonts w:ascii="Book Antiqua" w:hAnsi="Book Antiqua" w:cs="Book Antiqua"/>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78.25pt">
            <v:imagedata r:id="rId5" o:title=""/>
          </v:shape>
        </w:pict>
      </w:r>
    </w:p>
    <w:p w:rsidR="00752348" w:rsidRPr="00414FAA" w:rsidRDefault="00752348" w:rsidP="00847513">
      <w:pPr>
        <w:rPr>
          <w:b/>
          <w:bCs/>
        </w:rPr>
      </w:pPr>
      <w:r>
        <w:rPr>
          <w:b/>
          <w:bCs/>
        </w:rPr>
        <w:t>Vsebina OPVO za Mežiško dolino:</w:t>
      </w:r>
    </w:p>
    <w:p w:rsidR="00752348" w:rsidRPr="00414FAA" w:rsidRDefault="00752348" w:rsidP="00847513">
      <w:pPr>
        <w:pStyle w:val="BodyText"/>
        <w:numPr>
          <w:ilvl w:val="0"/>
          <w:numId w:val="3"/>
        </w:numPr>
        <w:rPr>
          <w:rFonts w:ascii="Calibri" w:hAnsi="Calibri" w:cs="Calibri"/>
        </w:rPr>
      </w:pPr>
      <w:r w:rsidRPr="00414FAA">
        <w:rPr>
          <w:rFonts w:ascii="Calibri" w:hAnsi="Calibri" w:cs="Calibri"/>
        </w:rPr>
        <w:t xml:space="preserve">povzetek stanja okolja in ohranjenosti narave v </w:t>
      </w:r>
      <w:r>
        <w:rPr>
          <w:rFonts w:ascii="Calibri" w:hAnsi="Calibri" w:cs="Calibri"/>
        </w:rPr>
        <w:t>Mežiški dolini iz Poročila o stanju okolja (če Poročilo o stanju okolja ne obstaja, se pripravi kot sestavni del OPVO);</w:t>
      </w:r>
    </w:p>
    <w:p w:rsidR="00752348" w:rsidRPr="00414FAA" w:rsidRDefault="00752348" w:rsidP="00847513">
      <w:pPr>
        <w:pStyle w:val="BodyText"/>
        <w:numPr>
          <w:ilvl w:val="0"/>
          <w:numId w:val="3"/>
        </w:numPr>
        <w:rPr>
          <w:rFonts w:ascii="Calibri" w:hAnsi="Calibri" w:cs="Calibri"/>
        </w:rPr>
      </w:pPr>
      <w:r w:rsidRPr="00414FAA">
        <w:rPr>
          <w:rFonts w:ascii="Calibri" w:hAnsi="Calibri" w:cs="Calibri"/>
        </w:rPr>
        <w:t xml:space="preserve">cilje in ukrepe za dosego ciljev OPVO </w:t>
      </w:r>
    </w:p>
    <w:p w:rsidR="00752348" w:rsidRPr="00414FAA" w:rsidRDefault="00752348" w:rsidP="00847513">
      <w:pPr>
        <w:pStyle w:val="BodyText"/>
        <w:numPr>
          <w:ilvl w:val="0"/>
          <w:numId w:val="3"/>
        </w:numPr>
        <w:rPr>
          <w:rFonts w:ascii="Calibri" w:hAnsi="Calibri" w:cs="Calibri"/>
        </w:rPr>
      </w:pPr>
      <w:r w:rsidRPr="00414FAA">
        <w:rPr>
          <w:rFonts w:ascii="Calibri" w:hAnsi="Calibri" w:cs="Calibri"/>
        </w:rPr>
        <w:t>opredelitev prednostnih nalog in operativne programe za izvedbo le teh za obdobje prvih štirih let po sprejetju OPVO</w:t>
      </w:r>
    </w:p>
    <w:p w:rsidR="00752348" w:rsidRPr="00414FAA" w:rsidRDefault="00752348" w:rsidP="00847513">
      <w:pPr>
        <w:pStyle w:val="BodyText"/>
        <w:numPr>
          <w:ilvl w:val="0"/>
          <w:numId w:val="3"/>
        </w:numPr>
        <w:rPr>
          <w:rFonts w:ascii="Calibri" w:hAnsi="Calibri" w:cs="Calibri"/>
        </w:rPr>
      </w:pPr>
      <w:r w:rsidRPr="00414FAA">
        <w:rPr>
          <w:rFonts w:ascii="Calibri" w:hAnsi="Calibri" w:cs="Calibri"/>
        </w:rPr>
        <w:t>oceno finančnih sredstev za izvedbo ukrepov OPVO in opredelitev možnih virov financiranja</w:t>
      </w:r>
    </w:p>
    <w:p w:rsidR="00752348" w:rsidRPr="00414FAA" w:rsidRDefault="00752348" w:rsidP="00847513">
      <w:pPr>
        <w:pStyle w:val="BodyText"/>
        <w:numPr>
          <w:ilvl w:val="0"/>
          <w:numId w:val="3"/>
        </w:numPr>
        <w:rPr>
          <w:rFonts w:ascii="Calibri" w:hAnsi="Calibri" w:cs="Calibri"/>
        </w:rPr>
      </w:pPr>
      <w:r w:rsidRPr="00414FAA">
        <w:rPr>
          <w:rFonts w:ascii="Calibri" w:hAnsi="Calibri" w:cs="Calibri"/>
        </w:rPr>
        <w:t xml:space="preserve">usmeritve za delovanje strokovnih služb </w:t>
      </w:r>
      <w:r>
        <w:rPr>
          <w:rFonts w:ascii="Calibri" w:hAnsi="Calibri" w:cs="Calibri"/>
        </w:rPr>
        <w:t>občinske</w:t>
      </w:r>
      <w:r w:rsidRPr="00414FAA">
        <w:rPr>
          <w:rFonts w:ascii="Calibri" w:hAnsi="Calibri" w:cs="Calibri"/>
        </w:rPr>
        <w:t xml:space="preserve"> uprave in javnih podjetij  v naslednjem obdobju (izhajajoč iz predhodnih točk)</w:t>
      </w:r>
    </w:p>
    <w:p w:rsidR="00752348" w:rsidRPr="00414FAA" w:rsidRDefault="00752348" w:rsidP="00847513">
      <w:pPr>
        <w:pStyle w:val="BodyText"/>
        <w:numPr>
          <w:ilvl w:val="0"/>
          <w:numId w:val="3"/>
        </w:numPr>
        <w:rPr>
          <w:rFonts w:ascii="Calibri" w:hAnsi="Calibri" w:cs="Calibri"/>
          <w:sz w:val="22"/>
          <w:szCs w:val="22"/>
        </w:rPr>
      </w:pPr>
      <w:r w:rsidRPr="00414FAA">
        <w:rPr>
          <w:rFonts w:ascii="Calibri" w:hAnsi="Calibri" w:cs="Calibri"/>
        </w:rPr>
        <w:t>aktivnosti vključevanja javnosti v proces nastajanja in uresničevanja OPVO</w:t>
      </w:r>
    </w:p>
    <w:p w:rsidR="00752348" w:rsidRPr="00414FAA" w:rsidRDefault="00752348" w:rsidP="00847513">
      <w:pPr>
        <w:pStyle w:val="BodyText"/>
        <w:rPr>
          <w:rFonts w:ascii="Calibri" w:hAnsi="Calibri" w:cs="Calibri"/>
        </w:rPr>
      </w:pPr>
    </w:p>
    <w:p w:rsidR="00752348" w:rsidRDefault="00752348" w:rsidP="00847513">
      <w:r w:rsidRPr="00B34007">
        <w:rPr>
          <w:b/>
          <w:bCs/>
        </w:rPr>
        <w:t>REZULTAT:</w:t>
      </w:r>
      <w:r>
        <w:t xml:space="preserve"> DOKUMENT OPVO JE STRATEŠKI DOKUMENT ZA VSE ŠTIRI OBČINE, V NJEM SE ZAVEŽEJO PODPIRATI BIODINAMIKO KOT SMER RAZVOJA KMETIJSTVA, KJER JE TO MOŽNO. </w:t>
      </w:r>
    </w:p>
    <w:p w:rsidR="00752348" w:rsidRDefault="00752348" w:rsidP="00847513"/>
    <w:p w:rsidR="00752348" w:rsidRPr="00BF3A50" w:rsidRDefault="00752348" w:rsidP="00B34007">
      <w:pPr>
        <w:pStyle w:val="ListParagraph"/>
        <w:numPr>
          <w:ilvl w:val="0"/>
          <w:numId w:val="1"/>
        </w:numPr>
        <w:rPr>
          <w:b/>
          <w:bCs/>
          <w:u w:val="single"/>
        </w:rPr>
      </w:pPr>
      <w:r w:rsidRPr="00BF3A50">
        <w:rPr>
          <w:b/>
          <w:bCs/>
          <w:u w:val="single"/>
        </w:rPr>
        <w:t>Biodinamika v Mežiški dolini</w:t>
      </w:r>
    </w:p>
    <w:p w:rsidR="00752348" w:rsidRDefault="00752348" w:rsidP="00B34007">
      <w:r>
        <w:t>V analizi stanja biodinamike v Mežiški dolini se vzpostavi kataster stanja razširjenosti biodinamike s ciljem, da prepoznamo območja:</w:t>
      </w:r>
    </w:p>
    <w:p w:rsidR="00752348" w:rsidRDefault="00752348" w:rsidP="00B34007">
      <w:pPr>
        <w:pStyle w:val="ListParagraph"/>
        <w:numPr>
          <w:ilvl w:val="0"/>
          <w:numId w:val="6"/>
        </w:numPr>
      </w:pPr>
      <w:r>
        <w:t>Kjer je biodinamika že razširjena</w:t>
      </w:r>
    </w:p>
    <w:p w:rsidR="00752348" w:rsidRDefault="00752348" w:rsidP="00B34007">
      <w:pPr>
        <w:pStyle w:val="ListParagraph"/>
        <w:numPr>
          <w:ilvl w:val="0"/>
          <w:numId w:val="6"/>
        </w:numPr>
      </w:pPr>
      <w:r>
        <w:t>Kjer bi bilo možno biodinamiko še razširiti</w:t>
      </w:r>
    </w:p>
    <w:p w:rsidR="00752348" w:rsidRDefault="00752348" w:rsidP="00B34007">
      <w:pPr>
        <w:pStyle w:val="ListParagraph"/>
        <w:numPr>
          <w:ilvl w:val="0"/>
          <w:numId w:val="6"/>
        </w:numPr>
      </w:pPr>
      <w:r>
        <w:t xml:space="preserve">Pridobimo seznam pristopov, ki se uporabljajo na področju biodinamike v Mežiški dolini </w:t>
      </w:r>
    </w:p>
    <w:p w:rsidR="00752348" w:rsidRDefault="00752348" w:rsidP="00E51080">
      <w:r>
        <w:t xml:space="preserve">Strokovna analiza je osnova za izvedbo praktičnega pristopa revitalizacije tal s to metodo. </w:t>
      </w:r>
    </w:p>
    <w:p w:rsidR="00752348" w:rsidRDefault="00752348" w:rsidP="00B34007"/>
    <w:p w:rsidR="00752348" w:rsidRPr="00BF3A50" w:rsidRDefault="00752348" w:rsidP="00E51080">
      <w:pPr>
        <w:pStyle w:val="ListParagraph"/>
        <w:numPr>
          <w:ilvl w:val="0"/>
          <w:numId w:val="1"/>
        </w:numPr>
        <w:rPr>
          <w:b/>
          <w:bCs/>
          <w:u w:val="single"/>
        </w:rPr>
      </w:pPr>
      <w:r w:rsidRPr="00BF3A50">
        <w:rPr>
          <w:b/>
          <w:bCs/>
          <w:u w:val="single"/>
        </w:rPr>
        <w:t>Revitalizacija Mežiške doline z biodinamiko – praktična izvedba</w:t>
      </w:r>
    </w:p>
    <w:p w:rsidR="00752348" w:rsidRDefault="00752348" w:rsidP="00E51080">
      <w:pPr>
        <w:pStyle w:val="ListParagraph"/>
        <w:numPr>
          <w:ilvl w:val="1"/>
          <w:numId w:val="1"/>
        </w:numPr>
      </w:pPr>
      <w:r>
        <w:t xml:space="preserve">Izbrana območja za uporabo biodinamike (skupnosti vrtičkarjev, občinska zemlja): pripravimo pregled in kratek opis izbranih območij in jih označimo tudi na terenu. Smiselno je, da ima vsaka od 4 občin svoje območje uporabe biodinamike. Z opredelitvijo območja se popiše stanje (osnovni podatki se pridobijo iz OPVO, pogl. 1). </w:t>
      </w:r>
    </w:p>
    <w:p w:rsidR="00752348" w:rsidRDefault="00752348" w:rsidP="00E51080">
      <w:pPr>
        <w:pStyle w:val="ListParagraph"/>
        <w:numPr>
          <w:ilvl w:val="1"/>
          <w:numId w:val="1"/>
        </w:numPr>
      </w:pPr>
      <w:r>
        <w:t>Izvedba biodinamike na pilotnih območjih</w:t>
      </w:r>
    </w:p>
    <w:p w:rsidR="00752348" w:rsidRDefault="00752348" w:rsidP="00EB2D69">
      <w:pPr>
        <w:pStyle w:val="ListParagraph"/>
      </w:pPr>
      <w:r>
        <w:t xml:space="preserve">Glede na značilnosti pilotnih območij določimo za vsa 4 zemljišča biodinamične pristope: izdelamo katalog aktivnosti na osnovi biodinamike za 1 leto (vegetacijsko obdobje) in spremljamo lastnosti tal. Spremljamo organsko snov in živa bitja v tleh, razvoj rastlin, fenofaze, vse glavne spremembe v naravi popišemo. </w:t>
      </w:r>
    </w:p>
    <w:p w:rsidR="00752348" w:rsidRDefault="00752348" w:rsidP="008D5511">
      <w:pPr>
        <w:pStyle w:val="ListParagraph"/>
      </w:pPr>
      <w:r>
        <w:t xml:space="preserve">Rezultat tega koraka je vzpostavitev učnih vzorčnih območij z metodo biodinamike in spremljanje posledic v tleh. </w:t>
      </w:r>
    </w:p>
    <w:p w:rsidR="00752348" w:rsidRDefault="00752348" w:rsidP="008D5511">
      <w:pPr>
        <w:pStyle w:val="ListParagraph"/>
      </w:pPr>
    </w:p>
    <w:p w:rsidR="00752348" w:rsidRPr="00BF3A50" w:rsidRDefault="00752348" w:rsidP="008D5511">
      <w:pPr>
        <w:pStyle w:val="ListParagraph"/>
        <w:numPr>
          <w:ilvl w:val="0"/>
          <w:numId w:val="1"/>
        </w:numPr>
        <w:rPr>
          <w:b/>
          <w:bCs/>
          <w:u w:val="single"/>
        </w:rPr>
      </w:pPr>
      <w:r w:rsidRPr="00BF3A50">
        <w:rPr>
          <w:b/>
          <w:bCs/>
          <w:u w:val="single"/>
        </w:rPr>
        <w:t>Prenos znanja o revitalizaciji tal z biodinamiko (v Slovenijo in čez mejo)</w:t>
      </w:r>
    </w:p>
    <w:p w:rsidR="00752348" w:rsidRDefault="00752348" w:rsidP="00E51080">
      <w:r>
        <w:t xml:space="preserve">Analizni podatki spremljanja lastnosti tal na območjih z biodinamiko so osnova za poročilo o posledicah uporabe biodinamike pri zdravljenju tal. Posebej spremljamo žive lastnosti tal, saj so ključne za ponovno oživaljanje degradiranih površin. V tem sklopu pripravimo delavnice, okrogle mize in praktično delo na pilotnih površinah z biodinamiko. Pripravimo tudi e-gradiva, filme in učna gradiva za vse, ki se bodo učili biodinamike. </w:t>
      </w:r>
    </w:p>
    <w:p w:rsidR="00752348" w:rsidRDefault="00752348" w:rsidP="00E51080"/>
    <w:p w:rsidR="00752348" w:rsidRPr="00FC2DC4" w:rsidRDefault="00752348" w:rsidP="00FC2DC4">
      <w:pPr>
        <w:pStyle w:val="ListParagraph"/>
        <w:numPr>
          <w:ilvl w:val="0"/>
          <w:numId w:val="1"/>
        </w:numPr>
        <w:rPr>
          <w:b/>
          <w:bCs/>
          <w:u w:val="single"/>
        </w:rPr>
      </w:pPr>
      <w:r w:rsidRPr="00FC2DC4">
        <w:rPr>
          <w:b/>
          <w:bCs/>
          <w:u w:val="single"/>
        </w:rPr>
        <w:t xml:space="preserve">Vzpostavitev učne regije Mežiške doline </w:t>
      </w:r>
    </w:p>
    <w:p w:rsidR="00752348" w:rsidRDefault="00752348" w:rsidP="00E51080">
      <w:r>
        <w:t xml:space="preserve">Za potrebe izobraževanja se vzpostavi učna regija Mežiška dolina za področje biodinamike. Pripravijo se baze uporabnikov teh storitev, potrebna promocija in obvesti se šole (za izvajanje delov pouka v naravi). Določi se odgovorna oseba za vodenje učilnice v naravi (ob strokovni pomoči) </w:t>
      </w:r>
    </w:p>
    <w:p w:rsidR="00752348" w:rsidRDefault="00752348" w:rsidP="00E51080"/>
    <w:p w:rsidR="00752348" w:rsidRPr="00BF3A50" w:rsidRDefault="00752348" w:rsidP="00BF3A50">
      <w:pPr>
        <w:pStyle w:val="ListParagraph"/>
        <w:numPr>
          <w:ilvl w:val="0"/>
          <w:numId w:val="1"/>
        </w:numPr>
        <w:rPr>
          <w:b/>
          <w:bCs/>
          <w:u w:val="single"/>
        </w:rPr>
      </w:pPr>
      <w:r w:rsidRPr="00BF3A50">
        <w:rPr>
          <w:b/>
          <w:bCs/>
          <w:u w:val="single"/>
        </w:rPr>
        <w:t xml:space="preserve">Ocena stroškov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752348" w:rsidRPr="00A2513A">
        <w:tc>
          <w:tcPr>
            <w:tcW w:w="3070" w:type="dxa"/>
          </w:tcPr>
          <w:p w:rsidR="00752348" w:rsidRPr="00A2513A" w:rsidRDefault="00752348" w:rsidP="00A2513A">
            <w:pPr>
              <w:spacing w:after="0" w:line="240" w:lineRule="auto"/>
              <w:rPr>
                <w:rFonts w:ascii="Book Antiqua" w:hAnsi="Book Antiqua" w:cs="Book Antiqua"/>
              </w:rPr>
            </w:pPr>
            <w:r w:rsidRPr="00A2513A">
              <w:rPr>
                <w:rFonts w:ascii="Book Antiqua" w:hAnsi="Book Antiqua" w:cs="Book Antiqua"/>
              </w:rPr>
              <w:t>Vrsta stroškov</w:t>
            </w:r>
          </w:p>
        </w:tc>
        <w:tc>
          <w:tcPr>
            <w:tcW w:w="3071" w:type="dxa"/>
          </w:tcPr>
          <w:p w:rsidR="00752348" w:rsidRPr="00A2513A" w:rsidRDefault="00752348" w:rsidP="00A2513A">
            <w:pPr>
              <w:spacing w:after="0" w:line="240" w:lineRule="auto"/>
              <w:rPr>
                <w:rFonts w:ascii="Book Antiqua" w:hAnsi="Book Antiqua" w:cs="Book Antiqua"/>
              </w:rPr>
            </w:pPr>
            <w:r w:rsidRPr="00A2513A">
              <w:rPr>
                <w:rFonts w:ascii="Book Antiqua" w:hAnsi="Book Antiqua" w:cs="Book Antiqua"/>
              </w:rPr>
              <w:t xml:space="preserve">Opis </w:t>
            </w:r>
          </w:p>
        </w:tc>
        <w:tc>
          <w:tcPr>
            <w:tcW w:w="3071" w:type="dxa"/>
          </w:tcPr>
          <w:p w:rsidR="00752348" w:rsidRPr="00A2513A" w:rsidRDefault="00752348" w:rsidP="00A2513A">
            <w:pPr>
              <w:spacing w:after="0" w:line="240" w:lineRule="auto"/>
              <w:rPr>
                <w:rFonts w:ascii="Book Antiqua" w:hAnsi="Book Antiqua" w:cs="Book Antiqua"/>
              </w:rPr>
            </w:pPr>
            <w:r w:rsidRPr="00A2513A">
              <w:rPr>
                <w:rFonts w:ascii="Book Antiqua" w:hAnsi="Book Antiqua" w:cs="Book Antiqua"/>
              </w:rPr>
              <w:t>vrednost</w:t>
            </w:r>
          </w:p>
        </w:tc>
      </w:tr>
      <w:tr w:rsidR="00752348" w:rsidRPr="00A2513A">
        <w:tc>
          <w:tcPr>
            <w:tcW w:w="3070"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1. aktivnost</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 Poro</w:t>
            </w:r>
            <w:r w:rsidRPr="00A2513A">
              <w:rPr>
                <w:rFonts w:ascii="Times New Roman" w:hAnsi="Times New Roman" w:cs="Times New Roman"/>
              </w:rPr>
              <w:t>č</w:t>
            </w:r>
            <w:r w:rsidRPr="00A2513A">
              <w:rPr>
                <w:rFonts w:ascii="Book Antiqua" w:hAnsi="Book Antiqua" w:cs="Book Antiqua"/>
              </w:rPr>
              <w:t>ilo o stanju okolja in OPVO za 4 ob</w:t>
            </w:r>
            <w:r w:rsidRPr="00A2513A">
              <w:rPr>
                <w:rFonts w:ascii="Times New Roman" w:hAnsi="Times New Roman" w:cs="Times New Roman"/>
              </w:rPr>
              <w:t>č</w:t>
            </w:r>
            <w:r w:rsidRPr="00A2513A">
              <w:rPr>
                <w:rFonts w:ascii="Book Antiqua" w:hAnsi="Book Antiqua" w:cs="Book Antiqua"/>
              </w:rPr>
              <w:t>ine Me</w:t>
            </w:r>
            <w:r w:rsidRPr="00A2513A">
              <w:rPr>
                <w:rFonts w:ascii="Times New Roman" w:hAnsi="Times New Roman" w:cs="Times New Roman"/>
              </w:rPr>
              <w:t>ž</w:t>
            </w:r>
            <w:r w:rsidRPr="00A2513A">
              <w:rPr>
                <w:rFonts w:ascii="Book Antiqua" w:hAnsi="Book Antiqua" w:cs="Book Antiqua"/>
              </w:rPr>
              <w:t>iške doline (2014-2020)</w:t>
            </w:r>
          </w:p>
        </w:tc>
        <w:tc>
          <w:tcPr>
            <w:tcW w:w="3071" w:type="dxa"/>
          </w:tcPr>
          <w:p w:rsidR="00752348" w:rsidRPr="00A2513A" w:rsidRDefault="00752348" w:rsidP="00A2513A">
            <w:pPr>
              <w:spacing w:after="0" w:line="240" w:lineRule="auto"/>
              <w:jc w:val="both"/>
              <w:rPr>
                <w:rFonts w:ascii="Book Antiqua" w:hAnsi="Book Antiqua" w:cs="Book Antiqua"/>
                <w:b/>
                <w:bCs/>
              </w:rPr>
            </w:pPr>
            <w:r w:rsidRPr="00A2513A">
              <w:rPr>
                <w:rFonts w:ascii="Book Antiqua" w:hAnsi="Book Antiqua" w:cs="Book Antiqua"/>
              </w:rPr>
              <w:t>19.800,00</w:t>
            </w:r>
          </w:p>
        </w:tc>
      </w:tr>
      <w:tr w:rsidR="00752348" w:rsidRPr="00A2513A">
        <w:tc>
          <w:tcPr>
            <w:tcW w:w="3070"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2. aktivnost: </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Biodinamika v Me</w:t>
            </w:r>
            <w:r w:rsidRPr="00A2513A">
              <w:rPr>
                <w:rFonts w:ascii="Times New Roman" w:hAnsi="Times New Roman" w:cs="Times New Roman"/>
              </w:rPr>
              <w:t>ž</w:t>
            </w:r>
            <w:r w:rsidRPr="00A2513A">
              <w:rPr>
                <w:rFonts w:ascii="Book Antiqua" w:hAnsi="Book Antiqua" w:cs="Book Antiqua"/>
              </w:rPr>
              <w:t xml:space="preserve">iški dolini </w:t>
            </w:r>
          </w:p>
        </w:tc>
        <w:tc>
          <w:tcPr>
            <w:tcW w:w="3071" w:type="dxa"/>
          </w:tcPr>
          <w:p w:rsidR="00752348" w:rsidRPr="00A2513A" w:rsidRDefault="00752348" w:rsidP="00A2513A">
            <w:pPr>
              <w:spacing w:after="0" w:line="240" w:lineRule="auto"/>
              <w:jc w:val="both"/>
              <w:rPr>
                <w:rFonts w:ascii="Book Antiqua" w:hAnsi="Book Antiqua" w:cs="Book Antiqua"/>
                <w:b/>
                <w:bCs/>
              </w:rPr>
            </w:pPr>
            <w:r w:rsidRPr="00A2513A">
              <w:rPr>
                <w:rFonts w:ascii="Book Antiqua" w:hAnsi="Book Antiqua" w:cs="Book Antiqua"/>
              </w:rPr>
              <w:t>15.600,00</w:t>
            </w:r>
          </w:p>
        </w:tc>
      </w:tr>
      <w:tr w:rsidR="00752348" w:rsidRPr="00A2513A">
        <w:tc>
          <w:tcPr>
            <w:tcW w:w="3070"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3. aktivnost: </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Revitalizacija Me</w:t>
            </w:r>
            <w:r w:rsidRPr="00A2513A">
              <w:rPr>
                <w:rFonts w:ascii="Times New Roman" w:hAnsi="Times New Roman" w:cs="Times New Roman"/>
              </w:rPr>
              <w:t>ž</w:t>
            </w:r>
            <w:r w:rsidRPr="00A2513A">
              <w:rPr>
                <w:rFonts w:ascii="Book Antiqua" w:hAnsi="Book Antiqua" w:cs="Book Antiqua"/>
              </w:rPr>
              <w:t>iške doline z biodinamiko – prakti</w:t>
            </w:r>
            <w:r w:rsidRPr="00A2513A">
              <w:rPr>
                <w:rFonts w:ascii="Times New Roman" w:hAnsi="Times New Roman" w:cs="Times New Roman"/>
              </w:rPr>
              <w:t>č</w:t>
            </w:r>
            <w:r w:rsidRPr="00A2513A">
              <w:rPr>
                <w:rFonts w:ascii="Book Antiqua" w:hAnsi="Book Antiqua" w:cs="Book Antiqua"/>
              </w:rPr>
              <w:t xml:space="preserve">na izvedba </w:t>
            </w:r>
          </w:p>
        </w:tc>
        <w:tc>
          <w:tcPr>
            <w:tcW w:w="3071" w:type="dxa"/>
          </w:tcPr>
          <w:p w:rsidR="00752348" w:rsidRPr="00A2513A" w:rsidRDefault="00752348" w:rsidP="00A2513A">
            <w:pPr>
              <w:spacing w:after="0" w:line="240" w:lineRule="auto"/>
              <w:jc w:val="both"/>
              <w:rPr>
                <w:rFonts w:ascii="Book Antiqua" w:hAnsi="Book Antiqua" w:cs="Book Antiqua"/>
                <w:b/>
                <w:bCs/>
              </w:rPr>
            </w:pPr>
            <w:r w:rsidRPr="00A2513A">
              <w:rPr>
                <w:rFonts w:ascii="Book Antiqua" w:hAnsi="Book Antiqua" w:cs="Book Antiqua"/>
              </w:rPr>
              <w:t>32.000,00</w:t>
            </w:r>
          </w:p>
        </w:tc>
      </w:tr>
      <w:tr w:rsidR="00752348" w:rsidRPr="00A2513A">
        <w:tc>
          <w:tcPr>
            <w:tcW w:w="3070" w:type="dxa"/>
          </w:tcPr>
          <w:p w:rsidR="00752348" w:rsidRPr="00A2513A" w:rsidRDefault="00752348" w:rsidP="00A2513A">
            <w:pPr>
              <w:pStyle w:val="ListParagraph"/>
              <w:numPr>
                <w:ilvl w:val="0"/>
                <w:numId w:val="7"/>
              </w:numPr>
              <w:spacing w:after="0" w:line="240" w:lineRule="auto"/>
              <w:jc w:val="both"/>
              <w:rPr>
                <w:rFonts w:ascii="Book Antiqua" w:hAnsi="Book Antiqua" w:cs="Book Antiqua"/>
              </w:rPr>
            </w:pPr>
            <w:r w:rsidRPr="00A2513A">
              <w:rPr>
                <w:rFonts w:ascii="Book Antiqua" w:hAnsi="Book Antiqua" w:cs="Book Antiqua"/>
              </w:rPr>
              <w:t>aktivnost</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Prenos znanja o revitalizaciji tal z biodinamiko (v Slovenijo in </w:t>
            </w:r>
            <w:r w:rsidRPr="00A2513A">
              <w:rPr>
                <w:rFonts w:ascii="Times New Roman" w:hAnsi="Times New Roman" w:cs="Times New Roman"/>
              </w:rPr>
              <w:t>č</w:t>
            </w:r>
            <w:r w:rsidRPr="00A2513A">
              <w:rPr>
                <w:rFonts w:ascii="Book Antiqua" w:hAnsi="Book Antiqua" w:cs="Book Antiqua"/>
              </w:rPr>
              <w:t xml:space="preserve">ez mejo) </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10.400,00</w:t>
            </w:r>
          </w:p>
        </w:tc>
      </w:tr>
      <w:tr w:rsidR="00752348" w:rsidRPr="00A2513A">
        <w:tc>
          <w:tcPr>
            <w:tcW w:w="3070" w:type="dxa"/>
          </w:tcPr>
          <w:p w:rsidR="00752348" w:rsidRPr="00A2513A" w:rsidRDefault="00752348" w:rsidP="00A2513A">
            <w:pPr>
              <w:pStyle w:val="ListParagraph"/>
              <w:numPr>
                <w:ilvl w:val="0"/>
                <w:numId w:val="7"/>
              </w:numPr>
              <w:spacing w:after="0" w:line="240" w:lineRule="auto"/>
              <w:jc w:val="both"/>
              <w:rPr>
                <w:rFonts w:ascii="Book Antiqua" w:hAnsi="Book Antiqua" w:cs="Book Antiqua"/>
              </w:rPr>
            </w:pP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Vzpostavitev u</w:t>
            </w:r>
            <w:r w:rsidRPr="00A2513A">
              <w:rPr>
                <w:rFonts w:ascii="Times New Roman" w:hAnsi="Times New Roman" w:cs="Times New Roman"/>
              </w:rPr>
              <w:t>č</w:t>
            </w:r>
            <w:r w:rsidRPr="00A2513A">
              <w:rPr>
                <w:rFonts w:ascii="Book Antiqua" w:hAnsi="Book Antiqua" w:cs="Book Antiqua"/>
              </w:rPr>
              <w:t>ne regije za biodinamiko v Me</w:t>
            </w:r>
            <w:r w:rsidRPr="00A2513A">
              <w:rPr>
                <w:rFonts w:ascii="Times New Roman" w:hAnsi="Times New Roman" w:cs="Times New Roman"/>
              </w:rPr>
              <w:t>ž</w:t>
            </w:r>
            <w:r w:rsidRPr="00A2513A">
              <w:rPr>
                <w:rFonts w:ascii="Book Antiqua" w:hAnsi="Book Antiqua" w:cs="Book Antiqua"/>
              </w:rPr>
              <w:t>iški dolini</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9.700,00</w:t>
            </w:r>
          </w:p>
        </w:tc>
      </w:tr>
      <w:tr w:rsidR="00752348" w:rsidRPr="00A2513A">
        <w:tc>
          <w:tcPr>
            <w:tcW w:w="3070" w:type="dxa"/>
          </w:tcPr>
          <w:p w:rsidR="00752348" w:rsidRPr="00A2513A" w:rsidRDefault="00752348" w:rsidP="00A2513A">
            <w:pPr>
              <w:pStyle w:val="ListParagraph"/>
              <w:numPr>
                <w:ilvl w:val="0"/>
                <w:numId w:val="7"/>
              </w:numPr>
              <w:spacing w:after="0" w:line="240" w:lineRule="auto"/>
              <w:jc w:val="both"/>
              <w:rPr>
                <w:rFonts w:ascii="Book Antiqua" w:hAnsi="Book Antiqua" w:cs="Book Antiqua"/>
              </w:rPr>
            </w:pP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Vodenje projekta, administrativni stroški </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5.600,00</w:t>
            </w:r>
          </w:p>
        </w:tc>
      </w:tr>
      <w:tr w:rsidR="00752348" w:rsidRPr="00A2513A">
        <w:tc>
          <w:tcPr>
            <w:tcW w:w="3070" w:type="dxa"/>
          </w:tcPr>
          <w:p w:rsidR="00752348" w:rsidRPr="00A2513A" w:rsidRDefault="00752348" w:rsidP="00A2513A">
            <w:pPr>
              <w:pStyle w:val="ListParagraph"/>
              <w:numPr>
                <w:ilvl w:val="0"/>
                <w:numId w:val="7"/>
              </w:numPr>
              <w:spacing w:after="0" w:line="240" w:lineRule="auto"/>
              <w:jc w:val="both"/>
              <w:rPr>
                <w:rFonts w:ascii="Book Antiqua" w:hAnsi="Book Antiqua" w:cs="Book Antiqua"/>
              </w:rPr>
            </w:pP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 xml:space="preserve">Materialni stroški za izvedbo projekta </w:t>
            </w:r>
          </w:p>
        </w:tc>
        <w:tc>
          <w:tcPr>
            <w:tcW w:w="3071" w:type="dxa"/>
          </w:tcPr>
          <w:p w:rsidR="00752348" w:rsidRPr="00A2513A" w:rsidRDefault="00752348" w:rsidP="00A2513A">
            <w:pPr>
              <w:spacing w:after="0" w:line="240" w:lineRule="auto"/>
              <w:jc w:val="both"/>
              <w:rPr>
                <w:rFonts w:ascii="Book Antiqua" w:hAnsi="Book Antiqua" w:cs="Book Antiqua"/>
              </w:rPr>
            </w:pPr>
            <w:r w:rsidRPr="00A2513A">
              <w:rPr>
                <w:rFonts w:ascii="Book Antiqua" w:hAnsi="Book Antiqua" w:cs="Book Antiqua"/>
              </w:rPr>
              <w:t>10.000,00</w:t>
            </w:r>
          </w:p>
        </w:tc>
      </w:tr>
      <w:tr w:rsidR="00752348" w:rsidRPr="00A2513A">
        <w:tc>
          <w:tcPr>
            <w:tcW w:w="3070" w:type="dxa"/>
          </w:tcPr>
          <w:p w:rsidR="00752348" w:rsidRPr="00A2513A" w:rsidRDefault="00752348" w:rsidP="00A2513A">
            <w:pPr>
              <w:pStyle w:val="ListParagraph"/>
              <w:spacing w:after="0" w:line="240" w:lineRule="auto"/>
              <w:jc w:val="both"/>
              <w:rPr>
                <w:rFonts w:ascii="Book Antiqua" w:hAnsi="Book Antiqua" w:cs="Book Antiqua"/>
                <w:b/>
                <w:bCs/>
                <w:i/>
                <w:iCs/>
                <w:sz w:val="20"/>
                <w:szCs w:val="20"/>
              </w:rPr>
            </w:pPr>
            <w:r w:rsidRPr="00A2513A">
              <w:rPr>
                <w:rFonts w:ascii="Book Antiqua" w:hAnsi="Book Antiqua" w:cs="Book Antiqua"/>
                <w:b/>
                <w:bCs/>
                <w:i/>
                <w:iCs/>
                <w:sz w:val="20"/>
                <w:szCs w:val="20"/>
              </w:rPr>
              <w:t xml:space="preserve">Skupaj ocena stroškov </w:t>
            </w:r>
          </w:p>
        </w:tc>
        <w:tc>
          <w:tcPr>
            <w:tcW w:w="3071" w:type="dxa"/>
          </w:tcPr>
          <w:p w:rsidR="00752348" w:rsidRPr="00A2513A" w:rsidRDefault="00752348" w:rsidP="00A2513A">
            <w:pPr>
              <w:spacing w:after="0" w:line="240" w:lineRule="auto"/>
              <w:jc w:val="both"/>
              <w:rPr>
                <w:rFonts w:ascii="Book Antiqua" w:hAnsi="Book Antiqua" w:cs="Book Antiqua"/>
                <w:b/>
                <w:bCs/>
                <w:i/>
                <w:iCs/>
                <w:sz w:val="20"/>
                <w:szCs w:val="20"/>
              </w:rPr>
            </w:pPr>
          </w:p>
        </w:tc>
        <w:tc>
          <w:tcPr>
            <w:tcW w:w="3071" w:type="dxa"/>
          </w:tcPr>
          <w:p w:rsidR="00752348" w:rsidRPr="00A2513A" w:rsidRDefault="00752348" w:rsidP="00A2513A">
            <w:pPr>
              <w:spacing w:after="0" w:line="240" w:lineRule="auto"/>
              <w:jc w:val="both"/>
              <w:rPr>
                <w:rFonts w:ascii="Book Antiqua" w:hAnsi="Book Antiqua" w:cs="Book Antiqua"/>
                <w:b/>
                <w:bCs/>
                <w:i/>
                <w:iCs/>
                <w:sz w:val="20"/>
                <w:szCs w:val="20"/>
              </w:rPr>
            </w:pPr>
            <w:r w:rsidRPr="00A2513A">
              <w:rPr>
                <w:rFonts w:ascii="Book Antiqua" w:hAnsi="Book Antiqua" w:cs="Book Antiqua"/>
                <w:b/>
                <w:bCs/>
                <w:i/>
                <w:iCs/>
                <w:sz w:val="20"/>
                <w:szCs w:val="20"/>
              </w:rPr>
              <w:t>103.100,00</w:t>
            </w:r>
          </w:p>
        </w:tc>
      </w:tr>
    </w:tbl>
    <w:p w:rsidR="00752348" w:rsidRDefault="00752348" w:rsidP="00E51080"/>
    <w:p w:rsidR="00752348" w:rsidRDefault="00752348" w:rsidP="00FC2DC4">
      <w:pPr>
        <w:pStyle w:val="ListParagraph"/>
        <w:numPr>
          <w:ilvl w:val="0"/>
          <w:numId w:val="7"/>
        </w:numPr>
      </w:pPr>
      <w:r>
        <w:t>Projektni partnerji:</w:t>
      </w:r>
    </w:p>
    <w:p w:rsidR="00752348" w:rsidRDefault="00752348" w:rsidP="00FC2DC4">
      <w:pPr>
        <w:pStyle w:val="ListParagraph"/>
        <w:numPr>
          <w:ilvl w:val="0"/>
          <w:numId w:val="6"/>
        </w:numPr>
      </w:pPr>
      <w:r>
        <w:t>Za Las projekte so lahko partnerji samo iz območja LAS</w:t>
      </w:r>
    </w:p>
    <w:p w:rsidR="00752348" w:rsidRDefault="00752348" w:rsidP="00FC2DC4">
      <w:pPr>
        <w:pStyle w:val="ListParagraph"/>
        <w:numPr>
          <w:ilvl w:val="0"/>
          <w:numId w:val="6"/>
        </w:numPr>
      </w:pPr>
      <w:r>
        <w:t>Strokovno pomoč kot (podizvajalec) pri pripravi prijavnice in vodenju projekta je lahko Mednarodni center za ERM FF UM</w:t>
      </w:r>
    </w:p>
    <w:p w:rsidR="00752348" w:rsidRDefault="00752348" w:rsidP="00FC2DC4">
      <w:pPr>
        <w:pStyle w:val="ListParagraph"/>
        <w:numPr>
          <w:ilvl w:val="0"/>
          <w:numId w:val="6"/>
        </w:numPr>
      </w:pPr>
      <w:r>
        <w:t xml:space="preserve">Ostali partnerji: 4 občine, Društvo Ajda in drugi </w:t>
      </w:r>
    </w:p>
    <w:p w:rsidR="00752348" w:rsidRDefault="00752348" w:rsidP="00E51080"/>
    <w:sectPr w:rsidR="00752348" w:rsidSect="00876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1D72"/>
    <w:multiLevelType w:val="hybridMultilevel"/>
    <w:tmpl w:val="B6FED7F4"/>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50D01391"/>
    <w:multiLevelType w:val="hybridMultilevel"/>
    <w:tmpl w:val="E57E9CD2"/>
    <w:lvl w:ilvl="0" w:tplc="55A283E2">
      <w:start w:val="1"/>
      <w:numFmt w:val="bullet"/>
      <w:lvlText w:val="-"/>
      <w:lvlJc w:val="left"/>
      <w:pPr>
        <w:ind w:left="720" w:hanging="360"/>
      </w:pPr>
      <w:rPr>
        <w:rFonts w:ascii="Book Antiqua" w:eastAsia="Times New Roman" w:hAnsi="Book Antiqua"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875681"/>
    <w:multiLevelType w:val="hybridMultilevel"/>
    <w:tmpl w:val="C328470E"/>
    <w:lvl w:ilvl="0" w:tplc="04240007">
      <w:start w:val="1"/>
      <w:numFmt w:val="bullet"/>
      <w:lvlText w:val=""/>
      <w:lvlJc w:val="left"/>
      <w:pPr>
        <w:tabs>
          <w:tab w:val="num" w:pos="1080"/>
        </w:tabs>
        <w:ind w:left="1080" w:hanging="360"/>
      </w:pPr>
      <w:rPr>
        <w:rFonts w:ascii="Symbol" w:hAnsi="Symbol" w:cs="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3">
    <w:nsid w:val="54E515D9"/>
    <w:multiLevelType w:val="hybridMultilevel"/>
    <w:tmpl w:val="D5467F6A"/>
    <w:lvl w:ilvl="0" w:tplc="04240001">
      <w:start w:val="1"/>
      <w:numFmt w:val="bullet"/>
      <w:lvlText w:val=""/>
      <w:lvlJc w:val="left"/>
      <w:pPr>
        <w:tabs>
          <w:tab w:val="num" w:pos="1080"/>
        </w:tabs>
        <w:ind w:left="1080" w:hanging="360"/>
      </w:pPr>
      <w:rPr>
        <w:rFonts w:ascii="Symbol" w:hAnsi="Symbol" w:cs="Symbol" w:hint="default"/>
      </w:rPr>
    </w:lvl>
    <w:lvl w:ilvl="1" w:tplc="0424000F">
      <w:start w:val="1"/>
      <w:numFmt w:val="decimal"/>
      <w:lvlText w:val="%2."/>
      <w:lvlJc w:val="left"/>
      <w:pPr>
        <w:tabs>
          <w:tab w:val="num" w:pos="1800"/>
        </w:tabs>
        <w:ind w:left="1800" w:hanging="360"/>
      </w:pPr>
      <w:rPr>
        <w:rFonts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4">
    <w:nsid w:val="56D27B3C"/>
    <w:multiLevelType w:val="hybridMultilevel"/>
    <w:tmpl w:val="6A0E2296"/>
    <w:lvl w:ilvl="0" w:tplc="8B7E0BD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5D2A70A1"/>
    <w:multiLevelType w:val="multilevel"/>
    <w:tmpl w:val="C66EF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5E10ADC"/>
    <w:multiLevelType w:val="hybridMultilevel"/>
    <w:tmpl w:val="E072F0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C2"/>
    <w:rsid w:val="00032591"/>
    <w:rsid w:val="00090004"/>
    <w:rsid w:val="000B27E0"/>
    <w:rsid w:val="00133F0B"/>
    <w:rsid w:val="0021074C"/>
    <w:rsid w:val="002317C9"/>
    <w:rsid w:val="00277067"/>
    <w:rsid w:val="00285470"/>
    <w:rsid w:val="002C209E"/>
    <w:rsid w:val="002D369D"/>
    <w:rsid w:val="002E5B08"/>
    <w:rsid w:val="003A5EA9"/>
    <w:rsid w:val="003D67D7"/>
    <w:rsid w:val="00414FAA"/>
    <w:rsid w:val="004A4937"/>
    <w:rsid w:val="005E62F3"/>
    <w:rsid w:val="00622087"/>
    <w:rsid w:val="00664DD9"/>
    <w:rsid w:val="00740621"/>
    <w:rsid w:val="00752348"/>
    <w:rsid w:val="00847513"/>
    <w:rsid w:val="00876E79"/>
    <w:rsid w:val="008D5511"/>
    <w:rsid w:val="00917DA9"/>
    <w:rsid w:val="009341D3"/>
    <w:rsid w:val="009D138F"/>
    <w:rsid w:val="009F70C2"/>
    <w:rsid w:val="00A2513A"/>
    <w:rsid w:val="00B10B52"/>
    <w:rsid w:val="00B34007"/>
    <w:rsid w:val="00BF3A50"/>
    <w:rsid w:val="00C220B5"/>
    <w:rsid w:val="00C222EE"/>
    <w:rsid w:val="00CA31BB"/>
    <w:rsid w:val="00CC6B11"/>
    <w:rsid w:val="00D350E7"/>
    <w:rsid w:val="00E105E5"/>
    <w:rsid w:val="00E51080"/>
    <w:rsid w:val="00EB2D69"/>
    <w:rsid w:val="00F01003"/>
    <w:rsid w:val="00F12084"/>
    <w:rsid w:val="00F15510"/>
    <w:rsid w:val="00F218E8"/>
    <w:rsid w:val="00FC2DC4"/>
    <w:rsid w:val="00FE2D8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7C9"/>
    <w:rPr>
      <w:rFonts w:ascii="Tahoma" w:hAnsi="Tahoma" w:cs="Tahoma"/>
      <w:sz w:val="16"/>
      <w:szCs w:val="16"/>
    </w:rPr>
  </w:style>
  <w:style w:type="character" w:styleId="Hyperlink">
    <w:name w:val="Hyperlink"/>
    <w:basedOn w:val="DefaultParagraphFont"/>
    <w:uiPriority w:val="99"/>
    <w:rsid w:val="00F218E8"/>
    <w:rPr>
      <w:color w:val="0000FF"/>
      <w:u w:val="single"/>
    </w:rPr>
  </w:style>
  <w:style w:type="paragraph" w:styleId="NoSpacing">
    <w:name w:val="No Spacing"/>
    <w:uiPriority w:val="99"/>
    <w:qFormat/>
    <w:rsid w:val="00F218E8"/>
    <w:rPr>
      <w:rFonts w:cs="Calibri"/>
      <w:lang w:eastAsia="en-US"/>
    </w:rPr>
  </w:style>
  <w:style w:type="paragraph" w:styleId="ListParagraph">
    <w:name w:val="List Paragraph"/>
    <w:basedOn w:val="Normal"/>
    <w:uiPriority w:val="99"/>
    <w:qFormat/>
    <w:rsid w:val="00847513"/>
    <w:pPr>
      <w:ind w:left="720"/>
    </w:pPr>
  </w:style>
  <w:style w:type="paragraph" w:styleId="BodyText">
    <w:name w:val="Body Text"/>
    <w:basedOn w:val="Normal"/>
    <w:link w:val="BodyTextChar"/>
    <w:uiPriority w:val="99"/>
    <w:rsid w:val="00847513"/>
    <w:pPr>
      <w:spacing w:after="0" w:line="240" w:lineRule="auto"/>
      <w:jc w:val="both"/>
    </w:pPr>
    <w:rPr>
      <w:rFonts w:ascii="Times New Roman" w:eastAsia="Times New Roman" w:hAnsi="Times New Roman" w:cs="Times New Roman"/>
      <w:sz w:val="24"/>
      <w:szCs w:val="24"/>
      <w:lang w:eastAsia="sl-SI"/>
    </w:rPr>
  </w:style>
  <w:style w:type="character" w:customStyle="1" w:styleId="BodyTextChar">
    <w:name w:val="Body Text Char"/>
    <w:basedOn w:val="DefaultParagraphFont"/>
    <w:link w:val="BodyText"/>
    <w:uiPriority w:val="99"/>
    <w:locked/>
    <w:rsid w:val="00847513"/>
    <w:rPr>
      <w:rFonts w:ascii="Times New Roman" w:hAnsi="Times New Roman" w:cs="Times New Roman"/>
      <w:sz w:val="24"/>
      <w:szCs w:val="24"/>
      <w:lang w:eastAsia="sl-SI"/>
    </w:rPr>
  </w:style>
  <w:style w:type="table" w:styleId="TableGrid">
    <w:name w:val="Table Grid"/>
    <w:basedOn w:val="TableNormal"/>
    <w:uiPriority w:val="99"/>
    <w:rsid w:val="00664D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27565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1186</Words>
  <Characters>6765</Characters>
  <Application>Microsoft Office Outlook</Application>
  <DocSecurity>0</DocSecurity>
  <Lines>0</Lines>
  <Paragraphs>0</Paragraphs>
  <ScaleCrop>false</ScaleCrop>
  <Company>UM FERI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Ajda Koroška v sodelovanju z Mednarodnim centrom za ekoremediacije FF, UM </dc:title>
  <dc:subject/>
  <dc:creator>Ana</dc:creator>
  <cp:keywords/>
  <dc:description/>
  <cp:lastModifiedBy>MatejaK</cp:lastModifiedBy>
  <cp:revision>2</cp:revision>
  <cp:lastPrinted>2013-01-11T10:14:00Z</cp:lastPrinted>
  <dcterms:created xsi:type="dcterms:W3CDTF">2013-01-24T12:06:00Z</dcterms:created>
  <dcterms:modified xsi:type="dcterms:W3CDTF">2013-01-24T12:06:00Z</dcterms:modified>
</cp:coreProperties>
</file>